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BBB435" w14:textId="77777777" w:rsidR="002F073E" w:rsidRDefault="00872D15" w:rsidP="00872D15">
      <w:pPr>
        <w:widowControl/>
        <w:spacing w:before="100" w:beforeAutospacing="1" w:after="100" w:afterAutospacing="1"/>
        <w:ind w:leftChars="100" w:left="210"/>
        <w:jc w:val="center"/>
        <w:outlineLvl w:val="0"/>
        <w:rPr>
          <w:rFonts w:ascii="Times New Roman" w:hAnsi="Times New Roman"/>
          <w:b/>
          <w:bCs/>
          <w:kern w:val="36"/>
          <w:sz w:val="36"/>
          <w:szCs w:val="36"/>
        </w:rPr>
      </w:pPr>
      <w:r>
        <w:rPr>
          <w:rFonts w:ascii="Times New Roman" w:hAnsi="Times New Roman"/>
          <w:b/>
          <w:bCs/>
          <w:kern w:val="36"/>
          <w:sz w:val="36"/>
          <w:szCs w:val="36"/>
        </w:rPr>
        <w:t>关于</w:t>
      </w:r>
      <w:r w:rsidR="002F073E">
        <w:rPr>
          <w:rFonts w:ascii="Times New Roman" w:hAnsi="Times New Roman" w:hint="eastAsia"/>
          <w:b/>
          <w:bCs/>
          <w:kern w:val="36"/>
          <w:sz w:val="36"/>
          <w:szCs w:val="36"/>
        </w:rPr>
        <w:t>我校推荐</w:t>
      </w:r>
      <w:r>
        <w:rPr>
          <w:rFonts w:ascii="Times New Roman" w:hAnsi="Times New Roman"/>
          <w:b/>
          <w:bCs/>
          <w:kern w:val="36"/>
          <w:sz w:val="36"/>
          <w:szCs w:val="36"/>
        </w:rPr>
        <w:t>申报</w:t>
      </w:r>
      <w:r>
        <w:rPr>
          <w:rFonts w:ascii="Times New Roman" w:hAnsi="Times New Roman"/>
          <w:b/>
          <w:bCs/>
          <w:kern w:val="36"/>
          <w:sz w:val="36"/>
          <w:szCs w:val="36"/>
        </w:rPr>
        <w:t>2026</w:t>
      </w:r>
      <w:r>
        <w:rPr>
          <w:rFonts w:ascii="Times New Roman" w:hAnsi="Times New Roman"/>
          <w:b/>
          <w:bCs/>
          <w:kern w:val="36"/>
          <w:sz w:val="36"/>
          <w:szCs w:val="36"/>
        </w:rPr>
        <w:t>年自然资源科学技术奖</w:t>
      </w:r>
    </w:p>
    <w:p w14:paraId="4BDD78F1" w14:textId="48FC50FC" w:rsidR="00872D15" w:rsidRPr="00C06C2D" w:rsidRDefault="006579E7" w:rsidP="00872D15">
      <w:pPr>
        <w:widowControl/>
        <w:spacing w:before="100" w:beforeAutospacing="1" w:after="100" w:afterAutospacing="1"/>
        <w:ind w:leftChars="100" w:left="210"/>
        <w:jc w:val="center"/>
        <w:outlineLvl w:val="0"/>
        <w:rPr>
          <w:rFonts w:ascii="Times New Roman" w:hAnsi="Times New Roman"/>
          <w:b/>
          <w:bCs/>
          <w:kern w:val="36"/>
          <w:sz w:val="36"/>
          <w:szCs w:val="36"/>
        </w:rPr>
      </w:pPr>
      <w:r>
        <w:rPr>
          <w:rFonts w:ascii="Times New Roman" w:hAnsi="Times New Roman" w:hint="eastAsia"/>
          <w:b/>
          <w:bCs/>
          <w:kern w:val="36"/>
          <w:sz w:val="36"/>
          <w:szCs w:val="36"/>
        </w:rPr>
        <w:t>材料</w:t>
      </w:r>
      <w:r w:rsidR="00872D15">
        <w:rPr>
          <w:rFonts w:ascii="Times New Roman" w:hAnsi="Times New Roman"/>
          <w:b/>
          <w:bCs/>
          <w:kern w:val="36"/>
          <w:sz w:val="36"/>
          <w:szCs w:val="36"/>
        </w:rPr>
        <w:t>的公示</w:t>
      </w:r>
    </w:p>
    <w:p w14:paraId="0A7598FC" w14:textId="092C4675" w:rsidR="00872D15" w:rsidRPr="00A861A8" w:rsidRDefault="00872D15" w:rsidP="00872D15">
      <w:pPr>
        <w:widowControl/>
        <w:spacing w:afterLines="50" w:after="120" w:line="560" w:lineRule="exact"/>
        <w:ind w:firstLine="480"/>
        <w:rPr>
          <w:rFonts w:ascii="Times New Roman" w:hAnsi="Times New Roman"/>
          <w:kern w:val="0"/>
          <w:sz w:val="28"/>
          <w:szCs w:val="28"/>
        </w:rPr>
      </w:pPr>
      <w:r w:rsidRPr="00A861A8">
        <w:rPr>
          <w:rFonts w:ascii="Times New Roman" w:hAnsi="Times New Roman"/>
          <w:kern w:val="0"/>
          <w:sz w:val="28"/>
          <w:szCs w:val="28"/>
        </w:rPr>
        <w:t>根据《关于开展</w:t>
      </w:r>
      <w:r w:rsidRPr="00A861A8">
        <w:rPr>
          <w:rFonts w:ascii="Times New Roman" w:hAnsi="Times New Roman"/>
          <w:kern w:val="0"/>
          <w:sz w:val="28"/>
          <w:szCs w:val="28"/>
        </w:rPr>
        <w:t>2026</w:t>
      </w:r>
      <w:r w:rsidRPr="00A861A8">
        <w:rPr>
          <w:rFonts w:ascii="Times New Roman" w:hAnsi="Times New Roman"/>
          <w:kern w:val="0"/>
          <w:sz w:val="28"/>
          <w:szCs w:val="28"/>
        </w:rPr>
        <w:t>年自然资源科学技术奖推荐工作的通知》相关要求，现将我</w:t>
      </w:r>
      <w:r w:rsidRPr="00A861A8">
        <w:rPr>
          <w:rFonts w:ascii="Times New Roman" w:hAnsi="Times New Roman" w:hint="eastAsia"/>
          <w:kern w:val="0"/>
          <w:sz w:val="28"/>
          <w:szCs w:val="28"/>
        </w:rPr>
        <w:t>校</w:t>
      </w:r>
      <w:r w:rsidR="008C3355">
        <w:rPr>
          <w:rFonts w:ascii="Times New Roman" w:hAnsi="Times New Roman" w:hint="eastAsia"/>
          <w:kern w:val="0"/>
          <w:sz w:val="28"/>
          <w:szCs w:val="28"/>
        </w:rPr>
        <w:t>拟</w:t>
      </w:r>
      <w:r w:rsidR="002F073E">
        <w:rPr>
          <w:rFonts w:ascii="Times New Roman" w:hAnsi="Times New Roman" w:hint="eastAsia"/>
          <w:kern w:val="0"/>
          <w:sz w:val="28"/>
          <w:szCs w:val="28"/>
        </w:rPr>
        <w:t>推荐</w:t>
      </w:r>
      <w:r w:rsidRPr="00A861A8">
        <w:rPr>
          <w:rFonts w:ascii="Times New Roman" w:hAnsi="Times New Roman"/>
          <w:kern w:val="0"/>
          <w:sz w:val="28"/>
          <w:szCs w:val="28"/>
        </w:rPr>
        <w:t>申报自然资源科学技术奖</w:t>
      </w:r>
      <w:r w:rsidRPr="00A861A8">
        <w:rPr>
          <w:rFonts w:ascii="Times New Roman" w:hAnsi="Times New Roman" w:hint="eastAsia"/>
          <w:kern w:val="0"/>
          <w:sz w:val="28"/>
          <w:szCs w:val="28"/>
        </w:rPr>
        <w:t>的项目</w:t>
      </w:r>
      <w:r w:rsidR="00015B3C" w:rsidRPr="00015B3C">
        <w:rPr>
          <w:rFonts w:ascii="Times New Roman" w:hAnsi="Times New Roman" w:hint="eastAsia"/>
          <w:kern w:val="0"/>
          <w:sz w:val="28"/>
          <w:szCs w:val="28"/>
          <w:u w:val="single"/>
        </w:rPr>
        <w:t>深部地幔动力与浅表盆—山构造响应</w:t>
      </w:r>
      <w:r w:rsidRPr="00A861A8">
        <w:rPr>
          <w:rFonts w:ascii="Times New Roman" w:hAnsi="Times New Roman" w:hint="eastAsia"/>
          <w:kern w:val="0"/>
          <w:sz w:val="28"/>
          <w:szCs w:val="28"/>
        </w:rPr>
        <w:t>的相关</w:t>
      </w:r>
      <w:r w:rsidRPr="00A861A8">
        <w:rPr>
          <w:rFonts w:ascii="Times New Roman" w:hAnsi="Times New Roman"/>
          <w:kern w:val="0"/>
          <w:sz w:val="28"/>
          <w:szCs w:val="28"/>
        </w:rPr>
        <w:t>情况予以公示（</w:t>
      </w:r>
      <w:r w:rsidRPr="00A861A8">
        <w:rPr>
          <w:rFonts w:ascii="Times New Roman" w:hAnsi="Times New Roman" w:hint="eastAsia"/>
          <w:kern w:val="0"/>
          <w:sz w:val="28"/>
          <w:szCs w:val="28"/>
        </w:rPr>
        <w:t>公示材料</w:t>
      </w:r>
      <w:r w:rsidRPr="00A861A8">
        <w:rPr>
          <w:rFonts w:ascii="Times New Roman" w:hAnsi="Times New Roman"/>
          <w:kern w:val="0"/>
          <w:sz w:val="28"/>
          <w:szCs w:val="28"/>
        </w:rPr>
        <w:t>详见附件）</w:t>
      </w:r>
      <w:r w:rsidRPr="00A861A8">
        <w:rPr>
          <w:rFonts w:ascii="Times New Roman" w:hAnsi="Times New Roman" w:hint="eastAsia"/>
          <w:kern w:val="0"/>
          <w:sz w:val="28"/>
          <w:szCs w:val="28"/>
        </w:rPr>
        <w:t>。</w:t>
      </w:r>
    </w:p>
    <w:p w14:paraId="5C7AB072" w14:textId="0AE2058F" w:rsidR="00872D15" w:rsidRPr="00A861A8" w:rsidRDefault="00872D15" w:rsidP="00872D15">
      <w:pPr>
        <w:widowControl/>
        <w:spacing w:afterLines="50" w:after="120" w:line="560" w:lineRule="exact"/>
        <w:ind w:firstLine="480"/>
        <w:rPr>
          <w:rFonts w:ascii="Times New Roman" w:hAnsi="Times New Roman"/>
          <w:kern w:val="0"/>
          <w:sz w:val="28"/>
          <w:szCs w:val="28"/>
        </w:rPr>
      </w:pPr>
      <w:r w:rsidRPr="00A861A8">
        <w:rPr>
          <w:rFonts w:ascii="Times New Roman" w:hAnsi="Times New Roman"/>
          <w:kern w:val="0"/>
          <w:sz w:val="28"/>
          <w:szCs w:val="28"/>
        </w:rPr>
        <w:t>公示时间从</w:t>
      </w:r>
      <w:r w:rsidRPr="00A861A8">
        <w:rPr>
          <w:rFonts w:ascii="Times New Roman" w:hAnsi="Times New Roman"/>
          <w:kern w:val="0"/>
          <w:sz w:val="28"/>
          <w:szCs w:val="28"/>
        </w:rPr>
        <w:t>2026</w:t>
      </w:r>
      <w:r w:rsidRPr="00A861A8">
        <w:rPr>
          <w:rFonts w:ascii="Times New Roman" w:hAnsi="Times New Roman"/>
          <w:kern w:val="0"/>
          <w:sz w:val="28"/>
          <w:szCs w:val="28"/>
        </w:rPr>
        <w:t>年</w:t>
      </w:r>
      <w:r w:rsidR="00A032D9">
        <w:rPr>
          <w:rFonts w:ascii="Times New Roman" w:hAnsi="Times New Roman"/>
          <w:kern w:val="0"/>
          <w:sz w:val="28"/>
          <w:szCs w:val="28"/>
        </w:rPr>
        <w:t>9</w:t>
      </w:r>
      <w:r w:rsidRPr="00A861A8">
        <w:rPr>
          <w:rFonts w:ascii="Times New Roman" w:hAnsi="Times New Roman"/>
          <w:kern w:val="0"/>
          <w:sz w:val="28"/>
          <w:szCs w:val="28"/>
        </w:rPr>
        <w:t>月</w:t>
      </w:r>
      <w:r w:rsidR="00015B3C">
        <w:rPr>
          <w:rFonts w:ascii="Times New Roman" w:hAnsi="Times New Roman"/>
          <w:kern w:val="0"/>
          <w:sz w:val="28"/>
          <w:szCs w:val="28"/>
        </w:rPr>
        <w:t>11</w:t>
      </w:r>
      <w:r w:rsidRPr="00A861A8">
        <w:rPr>
          <w:rFonts w:ascii="Times New Roman" w:hAnsi="Times New Roman"/>
          <w:kern w:val="0"/>
          <w:sz w:val="28"/>
          <w:szCs w:val="28"/>
        </w:rPr>
        <w:t>日至</w:t>
      </w:r>
      <w:r w:rsidRPr="00A861A8">
        <w:rPr>
          <w:rFonts w:ascii="Times New Roman" w:hAnsi="Times New Roman"/>
          <w:kern w:val="0"/>
          <w:sz w:val="28"/>
          <w:szCs w:val="28"/>
        </w:rPr>
        <w:t>2026</w:t>
      </w:r>
      <w:r w:rsidRPr="00A861A8">
        <w:rPr>
          <w:rFonts w:ascii="Times New Roman" w:hAnsi="Times New Roman"/>
          <w:kern w:val="0"/>
          <w:sz w:val="28"/>
          <w:szCs w:val="28"/>
        </w:rPr>
        <w:t>年</w:t>
      </w:r>
      <w:r w:rsidR="006579E7">
        <w:rPr>
          <w:rFonts w:ascii="Times New Roman" w:hAnsi="Times New Roman" w:hint="eastAsia"/>
          <w:kern w:val="0"/>
          <w:sz w:val="28"/>
          <w:szCs w:val="28"/>
        </w:rPr>
        <w:t>9</w:t>
      </w:r>
      <w:r w:rsidRPr="00A861A8">
        <w:rPr>
          <w:rFonts w:ascii="Times New Roman" w:hAnsi="Times New Roman"/>
          <w:kern w:val="0"/>
          <w:sz w:val="28"/>
          <w:szCs w:val="28"/>
        </w:rPr>
        <w:t>月</w:t>
      </w:r>
      <w:r w:rsidR="00015B3C">
        <w:rPr>
          <w:rFonts w:ascii="Times New Roman" w:hAnsi="Times New Roman"/>
          <w:kern w:val="0"/>
          <w:sz w:val="28"/>
          <w:szCs w:val="28"/>
        </w:rPr>
        <w:t>17</w:t>
      </w:r>
      <w:r w:rsidRPr="00A861A8">
        <w:rPr>
          <w:rFonts w:ascii="Times New Roman" w:hAnsi="Times New Roman"/>
          <w:kern w:val="0"/>
          <w:sz w:val="28"/>
          <w:szCs w:val="28"/>
        </w:rPr>
        <w:t>日</w:t>
      </w:r>
      <w:r w:rsidRPr="00A861A8">
        <w:rPr>
          <w:rFonts w:ascii="Times New Roman" w:hAnsi="Times New Roman" w:hint="eastAsia"/>
          <w:kern w:val="0"/>
          <w:sz w:val="28"/>
          <w:szCs w:val="28"/>
        </w:rPr>
        <w:t>。公示期内，任何单位和个人对公示内容及相关信息持有异议的，可书面提出，并提供必要的证明材料。</w:t>
      </w:r>
    </w:p>
    <w:p w14:paraId="69CFE864" w14:textId="77777777" w:rsidR="00872D15" w:rsidRPr="00A861A8" w:rsidRDefault="00872D15" w:rsidP="00872D15">
      <w:pPr>
        <w:widowControl/>
        <w:spacing w:afterLines="50" w:after="120" w:line="560" w:lineRule="exact"/>
        <w:ind w:firstLineChars="200" w:firstLine="560"/>
        <w:rPr>
          <w:rFonts w:ascii="Times New Roman" w:hAnsi="Times New Roman"/>
          <w:kern w:val="0"/>
          <w:sz w:val="28"/>
          <w:szCs w:val="28"/>
        </w:rPr>
      </w:pPr>
      <w:r w:rsidRPr="00A861A8">
        <w:rPr>
          <w:rFonts w:ascii="Times New Roman" w:hAnsi="Times New Roman" w:hint="eastAsia"/>
          <w:kern w:val="0"/>
          <w:sz w:val="28"/>
          <w:szCs w:val="28"/>
        </w:rPr>
        <w:t>联</w:t>
      </w:r>
      <w:r w:rsidRPr="00A861A8">
        <w:rPr>
          <w:rFonts w:ascii="Times New Roman" w:hAnsi="Times New Roman" w:hint="eastAsia"/>
          <w:kern w:val="0"/>
          <w:sz w:val="28"/>
          <w:szCs w:val="28"/>
        </w:rPr>
        <w:t xml:space="preserve"> </w:t>
      </w:r>
      <w:r w:rsidRPr="00A861A8">
        <w:rPr>
          <w:rFonts w:ascii="Times New Roman" w:hAnsi="Times New Roman" w:hint="eastAsia"/>
          <w:kern w:val="0"/>
          <w:sz w:val="28"/>
          <w:szCs w:val="28"/>
        </w:rPr>
        <w:t>系</w:t>
      </w:r>
      <w:r w:rsidRPr="00A861A8">
        <w:rPr>
          <w:rFonts w:ascii="Times New Roman" w:hAnsi="Times New Roman" w:hint="eastAsia"/>
          <w:kern w:val="0"/>
          <w:sz w:val="28"/>
          <w:szCs w:val="28"/>
        </w:rPr>
        <w:t xml:space="preserve"> </w:t>
      </w:r>
      <w:r w:rsidRPr="00A861A8">
        <w:rPr>
          <w:rFonts w:ascii="Times New Roman" w:hAnsi="Times New Roman" w:hint="eastAsia"/>
          <w:kern w:val="0"/>
          <w:sz w:val="28"/>
          <w:szCs w:val="28"/>
        </w:rPr>
        <w:t>人：王晓佳</w:t>
      </w:r>
    </w:p>
    <w:p w14:paraId="68134281" w14:textId="77777777" w:rsidR="00872D15" w:rsidRPr="00A861A8" w:rsidRDefault="00872D15" w:rsidP="00872D15">
      <w:pPr>
        <w:widowControl/>
        <w:spacing w:afterLines="50" w:after="120" w:line="560" w:lineRule="exact"/>
        <w:ind w:firstLineChars="200" w:firstLine="560"/>
        <w:rPr>
          <w:rFonts w:ascii="Times New Roman" w:hAnsi="Times New Roman"/>
          <w:kern w:val="0"/>
          <w:sz w:val="28"/>
          <w:szCs w:val="28"/>
        </w:rPr>
      </w:pPr>
      <w:r w:rsidRPr="00A861A8">
        <w:rPr>
          <w:rFonts w:ascii="Times New Roman" w:hAnsi="Times New Roman" w:hint="eastAsia"/>
          <w:kern w:val="0"/>
          <w:sz w:val="28"/>
          <w:szCs w:val="28"/>
        </w:rPr>
        <w:t>联系电话：</w:t>
      </w:r>
      <w:r w:rsidRPr="00A861A8">
        <w:rPr>
          <w:rFonts w:ascii="Times New Roman" w:hAnsi="Times New Roman" w:hint="eastAsia"/>
          <w:kern w:val="0"/>
          <w:sz w:val="28"/>
          <w:szCs w:val="28"/>
        </w:rPr>
        <w:t>010-82322732</w:t>
      </w:r>
    </w:p>
    <w:p w14:paraId="45EB4A92" w14:textId="77777777" w:rsidR="00872D15" w:rsidRPr="00A861A8" w:rsidRDefault="00872D15" w:rsidP="00872D15">
      <w:pPr>
        <w:widowControl/>
        <w:spacing w:afterLines="50" w:after="120" w:line="560" w:lineRule="exact"/>
        <w:ind w:firstLineChars="200" w:firstLine="560"/>
        <w:rPr>
          <w:rFonts w:ascii="Times New Roman" w:hAnsi="Times New Roman"/>
          <w:kern w:val="0"/>
          <w:sz w:val="28"/>
          <w:szCs w:val="28"/>
        </w:rPr>
      </w:pPr>
      <w:r w:rsidRPr="00A861A8">
        <w:rPr>
          <w:rFonts w:ascii="Times New Roman" w:hAnsi="Times New Roman" w:hint="eastAsia"/>
          <w:kern w:val="0"/>
          <w:sz w:val="28"/>
          <w:szCs w:val="28"/>
        </w:rPr>
        <w:t>联系地址：北京市海淀区学院路</w:t>
      </w:r>
      <w:r w:rsidRPr="00A861A8">
        <w:rPr>
          <w:rFonts w:ascii="Times New Roman" w:hAnsi="Times New Roman" w:hint="eastAsia"/>
          <w:kern w:val="0"/>
          <w:sz w:val="28"/>
          <w:szCs w:val="28"/>
        </w:rPr>
        <w:t xml:space="preserve"> 29 </w:t>
      </w:r>
      <w:r w:rsidRPr="00A861A8">
        <w:rPr>
          <w:rFonts w:ascii="Times New Roman" w:hAnsi="Times New Roman" w:hint="eastAsia"/>
          <w:kern w:val="0"/>
          <w:sz w:val="28"/>
          <w:szCs w:val="28"/>
        </w:rPr>
        <w:t>号中国地质大学（北京）科技处</w:t>
      </w:r>
    </w:p>
    <w:p w14:paraId="6E98989B" w14:textId="77777777" w:rsidR="00872D15" w:rsidRPr="00A861A8" w:rsidRDefault="00872D15" w:rsidP="00872D15">
      <w:pPr>
        <w:widowControl/>
        <w:spacing w:afterLines="50" w:after="120" w:line="560" w:lineRule="exact"/>
        <w:rPr>
          <w:rFonts w:ascii="Times New Roman" w:hAnsi="Times New Roman"/>
          <w:kern w:val="0"/>
          <w:sz w:val="28"/>
          <w:szCs w:val="28"/>
        </w:rPr>
      </w:pPr>
    </w:p>
    <w:p w14:paraId="6F235CC7" w14:textId="0DAC6E4B" w:rsidR="00872D15" w:rsidRPr="00A861A8" w:rsidRDefault="008C3355" w:rsidP="00872D15">
      <w:pPr>
        <w:widowControl/>
        <w:spacing w:afterLines="50" w:after="120" w:line="560" w:lineRule="exact"/>
        <w:ind w:firstLine="480"/>
        <w:rPr>
          <w:rFonts w:ascii="Times New Roman" w:hAnsi="Times New Roman"/>
          <w:kern w:val="0"/>
          <w:sz w:val="28"/>
          <w:szCs w:val="28"/>
        </w:rPr>
      </w:pPr>
      <w:r w:rsidRPr="00A861A8">
        <w:rPr>
          <w:rFonts w:ascii="Times New Roman" w:hAnsi="Times New Roman"/>
          <w:kern w:val="0"/>
          <w:sz w:val="28"/>
          <w:szCs w:val="28"/>
        </w:rPr>
        <w:t xml:space="preserve"> </w:t>
      </w:r>
    </w:p>
    <w:p w14:paraId="3AAB42D7" w14:textId="77777777" w:rsidR="00872D15" w:rsidRPr="00A861A8" w:rsidRDefault="00872D15" w:rsidP="00872D15">
      <w:pPr>
        <w:widowControl/>
        <w:spacing w:afterLines="50" w:after="120" w:line="560" w:lineRule="exact"/>
        <w:ind w:firstLine="480"/>
        <w:rPr>
          <w:rFonts w:ascii="Times New Roman" w:hAnsi="Times New Roman"/>
          <w:kern w:val="0"/>
          <w:sz w:val="28"/>
          <w:szCs w:val="28"/>
        </w:rPr>
      </w:pPr>
    </w:p>
    <w:p w14:paraId="57301862" w14:textId="77777777" w:rsidR="00872D15" w:rsidRPr="00A861A8" w:rsidRDefault="00872D15" w:rsidP="00872D15">
      <w:pPr>
        <w:widowControl/>
        <w:spacing w:afterLines="50" w:after="120" w:line="560" w:lineRule="exact"/>
        <w:ind w:firstLine="480"/>
        <w:rPr>
          <w:rFonts w:ascii="Times New Roman" w:hAnsi="Times New Roman"/>
          <w:kern w:val="0"/>
          <w:sz w:val="28"/>
          <w:szCs w:val="28"/>
        </w:rPr>
      </w:pPr>
    </w:p>
    <w:p w14:paraId="6B243F1E" w14:textId="77777777" w:rsidR="00872D15" w:rsidRPr="00A861A8" w:rsidRDefault="00872D15" w:rsidP="00872D15">
      <w:pPr>
        <w:widowControl/>
        <w:spacing w:afterLines="50" w:after="120" w:line="560" w:lineRule="exact"/>
        <w:ind w:firstLine="480"/>
        <w:jc w:val="right"/>
        <w:rPr>
          <w:rFonts w:ascii="Times New Roman" w:hAnsi="Times New Roman"/>
          <w:kern w:val="0"/>
          <w:sz w:val="28"/>
          <w:szCs w:val="28"/>
        </w:rPr>
      </w:pPr>
      <w:r w:rsidRPr="00A861A8">
        <w:rPr>
          <w:rFonts w:ascii="Times New Roman" w:hAnsi="Times New Roman"/>
          <w:kern w:val="0"/>
          <w:sz w:val="28"/>
          <w:szCs w:val="28"/>
        </w:rPr>
        <w:t>中国地质大学（北京）</w:t>
      </w:r>
      <w:r w:rsidRPr="00A861A8">
        <w:rPr>
          <w:rFonts w:ascii="Times New Roman" w:hAnsi="Times New Roman" w:hint="eastAsia"/>
          <w:kern w:val="0"/>
          <w:sz w:val="28"/>
          <w:szCs w:val="28"/>
        </w:rPr>
        <w:t>科技处</w:t>
      </w:r>
    </w:p>
    <w:p w14:paraId="689641BB" w14:textId="4424FC42" w:rsidR="00872D15" w:rsidRPr="00A861A8" w:rsidRDefault="00872D15" w:rsidP="00872D15">
      <w:pPr>
        <w:widowControl/>
        <w:spacing w:afterLines="50" w:after="120" w:line="560" w:lineRule="exact"/>
        <w:ind w:right="560" w:firstLineChars="200" w:firstLine="560"/>
        <w:jc w:val="right"/>
        <w:rPr>
          <w:rFonts w:ascii="Times New Roman" w:hAnsi="Times New Roman"/>
          <w:kern w:val="0"/>
          <w:sz w:val="28"/>
          <w:szCs w:val="28"/>
        </w:rPr>
      </w:pPr>
      <w:r w:rsidRPr="00A861A8">
        <w:rPr>
          <w:rFonts w:ascii="Times New Roman" w:hAnsi="Times New Roman"/>
          <w:kern w:val="0"/>
          <w:sz w:val="28"/>
          <w:szCs w:val="28"/>
        </w:rPr>
        <w:t>2026</w:t>
      </w:r>
      <w:r w:rsidRPr="00A861A8">
        <w:rPr>
          <w:rFonts w:ascii="Times New Roman" w:hAnsi="Times New Roman"/>
          <w:kern w:val="0"/>
          <w:sz w:val="28"/>
          <w:szCs w:val="28"/>
        </w:rPr>
        <w:t>年</w:t>
      </w:r>
      <w:r w:rsidR="00A032D9">
        <w:rPr>
          <w:rFonts w:ascii="Times New Roman" w:hAnsi="Times New Roman"/>
          <w:kern w:val="0"/>
          <w:sz w:val="28"/>
          <w:szCs w:val="28"/>
        </w:rPr>
        <w:t>9</w:t>
      </w:r>
      <w:r w:rsidRPr="00A861A8">
        <w:rPr>
          <w:rFonts w:ascii="Times New Roman" w:hAnsi="Times New Roman"/>
          <w:kern w:val="0"/>
          <w:sz w:val="28"/>
          <w:szCs w:val="28"/>
        </w:rPr>
        <w:t>月</w:t>
      </w:r>
      <w:r w:rsidR="00015B3C">
        <w:rPr>
          <w:rFonts w:ascii="Times New Roman" w:hAnsi="Times New Roman"/>
          <w:kern w:val="0"/>
          <w:sz w:val="28"/>
          <w:szCs w:val="28"/>
        </w:rPr>
        <w:t>11</w:t>
      </w:r>
      <w:r w:rsidRPr="00A861A8">
        <w:rPr>
          <w:rFonts w:ascii="Times New Roman" w:hAnsi="Times New Roman"/>
          <w:kern w:val="0"/>
          <w:sz w:val="28"/>
          <w:szCs w:val="28"/>
        </w:rPr>
        <w:t>日</w:t>
      </w:r>
    </w:p>
    <w:p w14:paraId="6ED6FEF6" w14:textId="77777777" w:rsidR="00AB0E72" w:rsidRDefault="00AB0E72"/>
    <w:p w14:paraId="1ECE46A4" w14:textId="0B54E2DC" w:rsidR="00872D15" w:rsidRDefault="00872D15"/>
    <w:p w14:paraId="528FD641" w14:textId="731B6EA0" w:rsidR="00015B3C" w:rsidRDefault="00015B3C"/>
    <w:p w14:paraId="7E6FE95B" w14:textId="16E13ABB" w:rsidR="00015B3C" w:rsidRDefault="00015B3C"/>
    <w:p w14:paraId="5996C989" w14:textId="08BE700E" w:rsidR="00015B3C" w:rsidRDefault="00015B3C"/>
    <w:p w14:paraId="0CDD700D" w14:textId="26206795" w:rsidR="00015B3C" w:rsidRDefault="00015B3C"/>
    <w:p w14:paraId="44329632" w14:textId="63B8D88C" w:rsidR="00015B3C" w:rsidRDefault="00015B3C"/>
    <w:p w14:paraId="455871A3" w14:textId="77777777" w:rsidR="00015B3C" w:rsidRDefault="00015B3C"/>
    <w:p w14:paraId="3A51A248" w14:textId="31F26B21" w:rsidR="00015B3C" w:rsidRDefault="00015B3C" w:rsidP="00015B3C">
      <w:pPr>
        <w:jc w:val="center"/>
        <w:rPr>
          <w:rFonts w:ascii="黑体" w:eastAsia="黑体" w:hAnsi="黑体"/>
          <w:b/>
          <w:sz w:val="40"/>
          <w:szCs w:val="40"/>
        </w:rPr>
      </w:pPr>
      <w:r>
        <w:rPr>
          <w:rFonts w:ascii="黑体" w:eastAsia="黑体" w:hAnsi="黑体" w:hint="eastAsia"/>
          <w:b/>
          <w:sz w:val="40"/>
          <w:szCs w:val="40"/>
        </w:rPr>
        <w:lastRenderedPageBreak/>
        <w:t>中国地质大学（北京）</w:t>
      </w:r>
    </w:p>
    <w:p w14:paraId="367ACBE0" w14:textId="3C04A73B" w:rsidR="00015B3C" w:rsidRDefault="00015B3C" w:rsidP="00015B3C">
      <w:pPr>
        <w:jc w:val="center"/>
        <w:rPr>
          <w:rFonts w:ascii="黑体" w:eastAsia="黑体" w:hAnsi="宋体"/>
          <w:b/>
          <w:sz w:val="40"/>
          <w:szCs w:val="40"/>
        </w:rPr>
      </w:pPr>
      <w:r>
        <w:rPr>
          <w:rFonts w:ascii="黑体" w:eastAsia="黑体" w:hAnsi="黑体" w:hint="eastAsia"/>
          <w:b/>
          <w:sz w:val="40"/>
          <w:szCs w:val="40"/>
        </w:rPr>
        <w:t>推荐申报2026年自然资源科学技术奖</w:t>
      </w:r>
    </w:p>
    <w:p w14:paraId="1FEC2B91" w14:textId="77777777" w:rsidR="00015B3C" w:rsidRDefault="00015B3C" w:rsidP="00015B3C">
      <w:pPr>
        <w:jc w:val="center"/>
        <w:rPr>
          <w:rFonts w:ascii="黑体" w:eastAsia="黑体" w:hAnsi="黑体"/>
          <w:b/>
          <w:sz w:val="40"/>
          <w:szCs w:val="40"/>
        </w:rPr>
      </w:pPr>
      <w:r>
        <w:rPr>
          <w:rFonts w:ascii="黑体" w:eastAsia="黑体" w:hAnsi="黑体" w:hint="eastAsia"/>
          <w:b/>
          <w:sz w:val="40"/>
          <w:szCs w:val="40"/>
        </w:rPr>
        <w:t>（科技进步奖）公示材料</w:t>
      </w:r>
    </w:p>
    <w:p w14:paraId="42500F53" w14:textId="77777777" w:rsidR="00015B3C" w:rsidRDefault="00015B3C" w:rsidP="00015B3C">
      <w:pPr>
        <w:jc w:val="center"/>
        <w:rPr>
          <w:rFonts w:ascii="黑体" w:eastAsia="黑体" w:hAnsi="宋体"/>
          <w:b/>
          <w:sz w:val="40"/>
          <w:szCs w:val="40"/>
        </w:rPr>
      </w:pPr>
    </w:p>
    <w:p w14:paraId="1468BF18" w14:textId="77777777" w:rsidR="00015B3C" w:rsidRDefault="00015B3C" w:rsidP="00015B3C">
      <w:pPr>
        <w:ind w:left="321" w:hangingChars="100" w:hanging="321"/>
        <w:jc w:val="center"/>
        <w:outlineLvl w:val="0"/>
      </w:pPr>
      <w:bookmarkStart w:id="0" w:name="OLE_LINK6"/>
      <w:r>
        <w:rPr>
          <w:rFonts w:ascii="黑体" w:eastAsia="黑体" w:hAnsi="黑体" w:hint="eastAsia"/>
          <w:b/>
          <w:sz w:val="32"/>
          <w:szCs w:val="32"/>
        </w:rPr>
        <w:t>一、成果基本情况</w:t>
      </w:r>
    </w:p>
    <w:tbl>
      <w:tblPr>
        <w:tblStyle w:val="af5"/>
        <w:tblW w:w="8475" w:type="dxa"/>
        <w:jc w:val="center"/>
        <w:tblInd w:w="0" w:type="dxa"/>
        <w:tblLayout w:type="fixed"/>
        <w:tblLook w:val="04A0" w:firstRow="1" w:lastRow="0" w:firstColumn="1" w:lastColumn="0" w:noHBand="0" w:noVBand="1"/>
      </w:tblPr>
      <w:tblGrid>
        <w:gridCol w:w="2316"/>
        <w:gridCol w:w="6159"/>
      </w:tblGrid>
      <w:tr w:rsidR="00015B3C" w14:paraId="1992223E" w14:textId="77777777" w:rsidTr="00AA38FB">
        <w:trPr>
          <w:trHeight w:val="648"/>
          <w:jc w:val="center"/>
        </w:trPr>
        <w:tc>
          <w:tcPr>
            <w:tcW w:w="2316" w:type="dxa"/>
            <w:tcBorders>
              <w:top w:val="single" w:sz="4" w:space="0" w:color="auto"/>
              <w:left w:val="single" w:sz="12" w:space="0" w:color="auto"/>
              <w:bottom w:val="single" w:sz="4" w:space="0" w:color="auto"/>
              <w:right w:val="single" w:sz="6" w:space="0" w:color="auto"/>
            </w:tcBorders>
            <w:vAlign w:val="center"/>
            <w:hideMark/>
          </w:tcPr>
          <w:bookmarkEnd w:id="0"/>
          <w:p w14:paraId="1177AA54" w14:textId="77777777" w:rsidR="00015B3C" w:rsidRDefault="00015B3C" w:rsidP="00AA38FB">
            <w:pPr>
              <w:widowControl/>
              <w:jc w:val="center"/>
              <w:rPr>
                <w:rFonts w:ascii="宋体" w:hAnsi="宋体"/>
                <w:sz w:val="22"/>
                <w:szCs w:val="22"/>
              </w:rPr>
            </w:pPr>
            <w:r>
              <w:rPr>
                <w:rFonts w:ascii="宋体" w:hAnsi="宋体" w:hint="eastAsia"/>
                <w:sz w:val="22"/>
                <w:szCs w:val="22"/>
              </w:rPr>
              <w:t>成果名称</w:t>
            </w:r>
          </w:p>
        </w:tc>
        <w:tc>
          <w:tcPr>
            <w:tcW w:w="6159" w:type="dxa"/>
            <w:tcBorders>
              <w:top w:val="single" w:sz="4" w:space="0" w:color="auto"/>
              <w:left w:val="nil"/>
              <w:bottom w:val="single" w:sz="4" w:space="0" w:color="auto"/>
              <w:right w:val="single" w:sz="12" w:space="0" w:color="auto"/>
            </w:tcBorders>
            <w:vAlign w:val="center"/>
            <w:hideMark/>
          </w:tcPr>
          <w:p w14:paraId="36CE0B3E" w14:textId="3E2E4BC3" w:rsidR="00015B3C" w:rsidRDefault="00015B3C" w:rsidP="00AA38FB">
            <w:pPr>
              <w:rPr>
                <w:rFonts w:ascii="宋体" w:hAnsi="宋体"/>
                <w:sz w:val="22"/>
                <w:szCs w:val="22"/>
              </w:rPr>
            </w:pPr>
            <w:r>
              <w:rPr>
                <w:rFonts w:ascii="宋体" w:hAnsi="宋体" w:hint="eastAsia"/>
                <w:szCs w:val="21"/>
              </w:rPr>
              <w:t>深部地幔动力与浅表盆—山构造响应</w:t>
            </w:r>
          </w:p>
        </w:tc>
      </w:tr>
      <w:tr w:rsidR="00015B3C" w14:paraId="51D6E160" w14:textId="77777777" w:rsidTr="00AA38FB">
        <w:trPr>
          <w:trHeight w:val="1165"/>
          <w:jc w:val="center"/>
        </w:trPr>
        <w:tc>
          <w:tcPr>
            <w:tcW w:w="2316" w:type="dxa"/>
            <w:tcBorders>
              <w:top w:val="single" w:sz="6" w:space="0" w:color="auto"/>
              <w:left w:val="single" w:sz="12" w:space="0" w:color="auto"/>
              <w:bottom w:val="single" w:sz="6" w:space="0" w:color="auto"/>
              <w:right w:val="single" w:sz="6" w:space="0" w:color="auto"/>
            </w:tcBorders>
            <w:vAlign w:val="center"/>
            <w:hideMark/>
          </w:tcPr>
          <w:p w14:paraId="16385A66" w14:textId="77777777" w:rsidR="00015B3C" w:rsidRDefault="00015B3C" w:rsidP="00AA38FB">
            <w:pPr>
              <w:jc w:val="center"/>
              <w:rPr>
                <w:rFonts w:ascii="宋体" w:hAnsi="宋体"/>
                <w:sz w:val="22"/>
                <w:szCs w:val="22"/>
              </w:rPr>
            </w:pPr>
            <w:r>
              <w:rPr>
                <w:rFonts w:ascii="宋体" w:hAnsi="宋体" w:hint="eastAsia"/>
                <w:sz w:val="22"/>
                <w:szCs w:val="22"/>
              </w:rPr>
              <w:t>主要完成人</w:t>
            </w:r>
          </w:p>
        </w:tc>
        <w:tc>
          <w:tcPr>
            <w:tcW w:w="6159" w:type="dxa"/>
            <w:tcBorders>
              <w:top w:val="single" w:sz="6" w:space="0" w:color="auto"/>
              <w:left w:val="nil"/>
              <w:bottom w:val="single" w:sz="6" w:space="0" w:color="auto"/>
              <w:right w:val="single" w:sz="12" w:space="0" w:color="auto"/>
            </w:tcBorders>
            <w:vAlign w:val="center"/>
            <w:hideMark/>
          </w:tcPr>
          <w:p w14:paraId="0AF0C589" w14:textId="217A6CD8" w:rsidR="00015B3C" w:rsidRDefault="00015B3C" w:rsidP="00AA38FB">
            <w:pPr>
              <w:rPr>
                <w:rFonts w:ascii="宋体" w:hAnsi="宋体"/>
                <w:sz w:val="22"/>
                <w:szCs w:val="22"/>
              </w:rPr>
            </w:pPr>
            <w:r>
              <w:rPr>
                <w:rFonts w:ascii="宋体" w:hAnsi="宋体" w:hint="eastAsia"/>
                <w:szCs w:val="21"/>
              </w:rPr>
              <w:t>刘少峰、冷伟、马鹏斐、张博、林成发、钱涛、李王鹏</w:t>
            </w:r>
          </w:p>
        </w:tc>
      </w:tr>
      <w:tr w:rsidR="00015B3C" w14:paraId="2CEDCA03" w14:textId="77777777" w:rsidTr="00AA38FB">
        <w:trPr>
          <w:trHeight w:val="858"/>
          <w:jc w:val="center"/>
        </w:trPr>
        <w:tc>
          <w:tcPr>
            <w:tcW w:w="2316" w:type="dxa"/>
            <w:tcBorders>
              <w:top w:val="single" w:sz="6" w:space="0" w:color="auto"/>
              <w:left w:val="single" w:sz="12" w:space="0" w:color="auto"/>
              <w:bottom w:val="single" w:sz="6" w:space="0" w:color="auto"/>
              <w:right w:val="single" w:sz="6" w:space="0" w:color="auto"/>
            </w:tcBorders>
            <w:vAlign w:val="center"/>
            <w:hideMark/>
          </w:tcPr>
          <w:p w14:paraId="3B90FA17" w14:textId="77777777" w:rsidR="00015B3C" w:rsidRDefault="00015B3C" w:rsidP="00AA38FB">
            <w:pPr>
              <w:jc w:val="center"/>
              <w:rPr>
                <w:rFonts w:ascii="宋体" w:hAnsi="宋体"/>
                <w:sz w:val="22"/>
                <w:szCs w:val="22"/>
              </w:rPr>
            </w:pPr>
            <w:r>
              <w:rPr>
                <w:rFonts w:ascii="宋体" w:hAnsi="宋体" w:hint="eastAsia"/>
                <w:sz w:val="22"/>
                <w:szCs w:val="22"/>
              </w:rPr>
              <w:t>主要完成单位</w:t>
            </w:r>
          </w:p>
        </w:tc>
        <w:tc>
          <w:tcPr>
            <w:tcW w:w="6159" w:type="dxa"/>
            <w:tcBorders>
              <w:top w:val="single" w:sz="6" w:space="0" w:color="auto"/>
              <w:left w:val="nil"/>
              <w:bottom w:val="single" w:sz="6" w:space="0" w:color="auto"/>
              <w:right w:val="single" w:sz="12" w:space="0" w:color="auto"/>
            </w:tcBorders>
            <w:vAlign w:val="center"/>
            <w:hideMark/>
          </w:tcPr>
          <w:p w14:paraId="43D71281" w14:textId="29637C3A" w:rsidR="00015B3C" w:rsidRDefault="00015B3C" w:rsidP="00AA38FB">
            <w:pPr>
              <w:rPr>
                <w:rFonts w:ascii="宋体" w:hAnsi="宋体"/>
                <w:sz w:val="22"/>
                <w:szCs w:val="22"/>
              </w:rPr>
            </w:pPr>
            <w:r>
              <w:rPr>
                <w:rFonts w:ascii="宋体" w:hAnsi="宋体" w:hint="eastAsia"/>
                <w:szCs w:val="21"/>
              </w:rPr>
              <w:t>中国地质大学（北京）、中国科学技术大学</w:t>
            </w:r>
          </w:p>
        </w:tc>
      </w:tr>
      <w:tr w:rsidR="00015B3C" w14:paraId="1556D5F5" w14:textId="77777777" w:rsidTr="00AA38FB">
        <w:trPr>
          <w:trHeight w:val="538"/>
          <w:jc w:val="center"/>
        </w:trPr>
        <w:tc>
          <w:tcPr>
            <w:tcW w:w="2316" w:type="dxa"/>
            <w:tcBorders>
              <w:top w:val="single" w:sz="6" w:space="0" w:color="auto"/>
              <w:left w:val="single" w:sz="12" w:space="0" w:color="auto"/>
              <w:bottom w:val="single" w:sz="6" w:space="0" w:color="auto"/>
              <w:right w:val="single" w:sz="6" w:space="0" w:color="auto"/>
            </w:tcBorders>
            <w:vAlign w:val="center"/>
            <w:hideMark/>
          </w:tcPr>
          <w:p w14:paraId="396BA530" w14:textId="77777777" w:rsidR="00015B3C" w:rsidRDefault="00015B3C" w:rsidP="00AA38FB">
            <w:pPr>
              <w:jc w:val="center"/>
              <w:rPr>
                <w:rFonts w:ascii="宋体" w:hAnsi="宋体"/>
                <w:sz w:val="22"/>
                <w:szCs w:val="22"/>
              </w:rPr>
            </w:pPr>
            <w:r>
              <w:rPr>
                <w:rFonts w:ascii="宋体" w:hAnsi="宋体" w:hint="eastAsia"/>
                <w:sz w:val="22"/>
                <w:szCs w:val="22"/>
              </w:rPr>
              <w:t>推荐等级</w:t>
            </w:r>
          </w:p>
        </w:tc>
        <w:tc>
          <w:tcPr>
            <w:tcW w:w="6159" w:type="dxa"/>
            <w:tcBorders>
              <w:top w:val="single" w:sz="6" w:space="0" w:color="auto"/>
              <w:left w:val="nil"/>
              <w:bottom w:val="single" w:sz="6" w:space="0" w:color="auto"/>
              <w:right w:val="single" w:sz="12" w:space="0" w:color="auto"/>
            </w:tcBorders>
            <w:vAlign w:val="center"/>
            <w:hideMark/>
          </w:tcPr>
          <w:p w14:paraId="71AD02F1" w14:textId="3E00AD0B" w:rsidR="00015B3C" w:rsidRDefault="00015B3C" w:rsidP="00AA38FB">
            <w:pPr>
              <w:rPr>
                <w:rFonts w:ascii="宋体" w:hAnsi="宋体"/>
                <w:sz w:val="22"/>
                <w:szCs w:val="22"/>
              </w:rPr>
            </w:pPr>
            <w:r>
              <w:rPr>
                <w:rFonts w:ascii="宋体" w:hAnsi="宋体" w:hint="eastAsia"/>
                <w:szCs w:val="21"/>
              </w:rPr>
              <w:t>特等奖或一等奖</w:t>
            </w:r>
          </w:p>
        </w:tc>
      </w:tr>
    </w:tbl>
    <w:p w14:paraId="3F5ADBF7" w14:textId="77777777" w:rsidR="00015B3C" w:rsidRDefault="00015B3C" w:rsidP="00015B3C">
      <w:pPr>
        <w:widowControl/>
        <w:jc w:val="left"/>
        <w:rPr>
          <w:rFonts w:ascii="黑体" w:eastAsia="黑体" w:hAnsi="黑体"/>
          <w:b/>
          <w:sz w:val="32"/>
          <w:szCs w:val="32"/>
        </w:rPr>
        <w:sectPr w:rsidR="00015B3C">
          <w:pgSz w:w="11906" w:h="16838"/>
          <w:pgMar w:top="1440" w:right="1800" w:bottom="1440" w:left="1800" w:header="851" w:footer="992" w:gutter="0"/>
          <w:cols w:space="425"/>
          <w:docGrid w:linePitch="312"/>
        </w:sectPr>
      </w:pPr>
    </w:p>
    <w:p w14:paraId="21EDC7D7" w14:textId="0BEB0FFE" w:rsidR="00015B3C" w:rsidRDefault="00015B3C" w:rsidP="00015B3C">
      <w:pPr>
        <w:ind w:left="321" w:hangingChars="100" w:hanging="321"/>
        <w:jc w:val="center"/>
        <w:outlineLvl w:val="0"/>
      </w:pPr>
      <w:r>
        <w:rPr>
          <w:rFonts w:ascii="黑体" w:eastAsia="黑体" w:hAnsi="黑体" w:hint="eastAsia"/>
          <w:b/>
          <w:sz w:val="32"/>
          <w:szCs w:val="32"/>
        </w:rPr>
        <w:lastRenderedPageBreak/>
        <w:t>二、推荐意见</w:t>
      </w:r>
    </w:p>
    <w:p w14:paraId="3A6632C9" w14:textId="2D740BE6" w:rsidR="00015B3C" w:rsidRPr="00C14132" w:rsidRDefault="00015B3C" w:rsidP="00015B3C">
      <w:pPr>
        <w:widowControl/>
        <w:spacing w:afterLines="50" w:after="156" w:line="560" w:lineRule="exact"/>
        <w:ind w:firstLine="480"/>
        <w:rPr>
          <w:kern w:val="0"/>
          <w:sz w:val="24"/>
          <w:szCs w:val="24"/>
        </w:rPr>
      </w:pPr>
      <w:r w:rsidRPr="00C14132">
        <w:rPr>
          <w:rFonts w:hint="eastAsia"/>
          <w:kern w:val="0"/>
          <w:sz w:val="24"/>
          <w:szCs w:val="24"/>
        </w:rPr>
        <w:t>本成果针对深部地幔过程如何控制浅表盆—山构造演化、东亚水平板</w:t>
      </w:r>
      <w:proofErr w:type="gramStart"/>
      <w:r w:rsidRPr="00C14132">
        <w:rPr>
          <w:rFonts w:hint="eastAsia"/>
          <w:kern w:val="0"/>
          <w:sz w:val="24"/>
          <w:szCs w:val="24"/>
        </w:rPr>
        <w:t>片如何</w:t>
      </w:r>
      <w:proofErr w:type="gramEnd"/>
      <w:r w:rsidRPr="00C14132">
        <w:rPr>
          <w:rFonts w:hint="eastAsia"/>
          <w:kern w:val="0"/>
          <w:sz w:val="24"/>
          <w:szCs w:val="24"/>
        </w:rPr>
        <w:t>形成以及俯冲如何启动和发生极性反转等关键科学问题，开展地质观测、可变形板块重建和地球动力学模拟，取得三项主要创新：一是提出华北及邻区盆—山耦合模型，定量恢复东北亚</w:t>
      </w:r>
      <w:r w:rsidRPr="00C14132">
        <w:rPr>
          <w:rFonts w:hint="eastAsia"/>
          <w:kern w:val="0"/>
          <w:sz w:val="24"/>
          <w:szCs w:val="24"/>
        </w:rPr>
        <w:t>200 Ma</w:t>
      </w:r>
      <w:r w:rsidRPr="00C14132">
        <w:rPr>
          <w:rFonts w:hint="eastAsia"/>
          <w:kern w:val="0"/>
          <w:sz w:val="24"/>
          <w:szCs w:val="24"/>
        </w:rPr>
        <w:t>以来大陆变形和西太平洋俯冲—后撤过程，建立板块运动与陆内变形的统一时空框架；二是建立东亚—西太平洋板块—地幔四维动力学模型，揭示平板—后撤式俯冲、板片撕裂和地幔流动控制克拉通变形、水平板片与动力地形的机制；三是提出残留岛弧促进自发俯冲启动及俯冲极性反转的自发型、诱发型机制。成果形成了深部地幔动力与浅表构造—沉积响应的研究框架，为盆地形成演化和油气地质研究提供理论、方法及构造—沉积学依据。</w:t>
      </w:r>
      <w:r w:rsidRPr="00C14132">
        <w:rPr>
          <w:rFonts w:hint="eastAsia"/>
          <w:kern w:val="0"/>
          <w:sz w:val="24"/>
          <w:szCs w:val="24"/>
        </w:rPr>
        <w:t>8</w:t>
      </w:r>
      <w:r w:rsidRPr="00C14132">
        <w:rPr>
          <w:rFonts w:hint="eastAsia"/>
          <w:kern w:val="0"/>
          <w:sz w:val="24"/>
          <w:szCs w:val="24"/>
        </w:rPr>
        <w:t>篇代表作被引</w:t>
      </w:r>
      <w:r w:rsidRPr="00C14132">
        <w:rPr>
          <w:rFonts w:hint="eastAsia"/>
          <w:kern w:val="0"/>
          <w:sz w:val="24"/>
          <w:szCs w:val="24"/>
        </w:rPr>
        <w:t>1171</w:t>
      </w:r>
      <w:r w:rsidRPr="00C14132">
        <w:rPr>
          <w:rFonts w:hint="eastAsia"/>
          <w:kern w:val="0"/>
          <w:sz w:val="24"/>
          <w:szCs w:val="24"/>
        </w:rPr>
        <w:t>次，其中他引</w:t>
      </w:r>
      <w:r w:rsidRPr="00C14132">
        <w:rPr>
          <w:rFonts w:hint="eastAsia"/>
          <w:kern w:val="0"/>
          <w:sz w:val="24"/>
          <w:szCs w:val="24"/>
        </w:rPr>
        <w:t>1062</w:t>
      </w:r>
      <w:r w:rsidRPr="00C14132">
        <w:rPr>
          <w:rFonts w:hint="eastAsia"/>
          <w:kern w:val="0"/>
          <w:sz w:val="24"/>
          <w:szCs w:val="24"/>
        </w:rPr>
        <w:t>次、</w:t>
      </w:r>
      <w:r w:rsidRPr="00C14132">
        <w:rPr>
          <w:rFonts w:hint="eastAsia"/>
          <w:kern w:val="0"/>
          <w:sz w:val="24"/>
          <w:szCs w:val="24"/>
        </w:rPr>
        <w:t>SCI</w:t>
      </w:r>
      <w:r w:rsidRPr="00C14132">
        <w:rPr>
          <w:rFonts w:hint="eastAsia"/>
          <w:kern w:val="0"/>
          <w:sz w:val="24"/>
          <w:szCs w:val="24"/>
        </w:rPr>
        <w:t>他引</w:t>
      </w:r>
      <w:r w:rsidRPr="00C14132">
        <w:rPr>
          <w:rFonts w:hint="eastAsia"/>
          <w:kern w:val="0"/>
          <w:sz w:val="24"/>
          <w:szCs w:val="24"/>
        </w:rPr>
        <w:t>721</w:t>
      </w:r>
      <w:r w:rsidRPr="00C14132">
        <w:rPr>
          <w:rFonts w:hint="eastAsia"/>
          <w:kern w:val="0"/>
          <w:sz w:val="24"/>
          <w:szCs w:val="24"/>
        </w:rPr>
        <w:t>次，</w:t>
      </w:r>
      <w:r w:rsidRPr="00C14132">
        <w:rPr>
          <w:rFonts w:hint="eastAsia"/>
          <w:kern w:val="0"/>
          <w:sz w:val="24"/>
          <w:szCs w:val="24"/>
        </w:rPr>
        <w:t>1</w:t>
      </w:r>
      <w:r w:rsidRPr="00C14132">
        <w:rPr>
          <w:rFonts w:hint="eastAsia"/>
          <w:kern w:val="0"/>
          <w:sz w:val="24"/>
          <w:szCs w:val="24"/>
        </w:rPr>
        <w:t>篇入选</w:t>
      </w:r>
      <w:r w:rsidRPr="00C14132">
        <w:rPr>
          <w:rFonts w:hint="eastAsia"/>
          <w:kern w:val="0"/>
          <w:sz w:val="24"/>
          <w:szCs w:val="24"/>
        </w:rPr>
        <w:t>ESI</w:t>
      </w:r>
      <w:r w:rsidRPr="00C14132">
        <w:rPr>
          <w:rFonts w:hint="eastAsia"/>
          <w:kern w:val="0"/>
          <w:sz w:val="24"/>
          <w:szCs w:val="24"/>
        </w:rPr>
        <w:t>高被引论文；可变形板块重建成果被纳入全球模型，相关认识被国内外同行用于西太平洋板块重建、水平板片与俯冲动力学研究。成果在理论和方法上具有原创性、引领性和突破性，推动了自然资源领域地学基础理论和研究方法发展，对行业科技进步作用明显，同意推荐自然资源科技进步奖一等奖。</w:t>
      </w:r>
    </w:p>
    <w:p w14:paraId="578A1253" w14:textId="77777777" w:rsidR="00015B3C" w:rsidRDefault="00015B3C" w:rsidP="00015B3C">
      <w:pPr>
        <w:ind w:left="321" w:hangingChars="100" w:hanging="321"/>
        <w:jc w:val="center"/>
        <w:outlineLvl w:val="0"/>
        <w:rPr>
          <w:rFonts w:ascii="黑体" w:eastAsia="黑体" w:hAnsi="黑体"/>
          <w:b/>
          <w:sz w:val="32"/>
          <w:szCs w:val="32"/>
        </w:rPr>
      </w:pPr>
    </w:p>
    <w:p w14:paraId="4DC4FF1E" w14:textId="77777777" w:rsidR="00015B3C" w:rsidRDefault="00015B3C" w:rsidP="00015B3C">
      <w:pPr>
        <w:ind w:left="321" w:hangingChars="100" w:hanging="321"/>
        <w:jc w:val="center"/>
        <w:outlineLvl w:val="0"/>
        <w:rPr>
          <w:rFonts w:ascii="黑体" w:eastAsia="黑体" w:hAnsi="黑体"/>
          <w:b/>
          <w:sz w:val="32"/>
          <w:szCs w:val="32"/>
        </w:rPr>
      </w:pPr>
    </w:p>
    <w:p w14:paraId="43729EF9" w14:textId="77777777" w:rsidR="00015B3C" w:rsidRDefault="00015B3C" w:rsidP="00015B3C">
      <w:pPr>
        <w:ind w:left="321" w:hangingChars="100" w:hanging="321"/>
        <w:jc w:val="center"/>
        <w:outlineLvl w:val="0"/>
        <w:rPr>
          <w:rFonts w:ascii="黑体" w:eastAsia="黑体" w:hAnsi="黑体"/>
          <w:b/>
          <w:sz w:val="32"/>
          <w:szCs w:val="32"/>
        </w:rPr>
      </w:pPr>
    </w:p>
    <w:p w14:paraId="62379C0A" w14:textId="77777777" w:rsidR="00015B3C" w:rsidRDefault="00015B3C" w:rsidP="00015B3C">
      <w:pPr>
        <w:ind w:left="321" w:hangingChars="100" w:hanging="321"/>
        <w:jc w:val="center"/>
        <w:outlineLvl w:val="0"/>
        <w:rPr>
          <w:rFonts w:ascii="黑体" w:eastAsia="黑体" w:hAnsi="黑体"/>
          <w:b/>
          <w:sz w:val="32"/>
          <w:szCs w:val="32"/>
        </w:rPr>
      </w:pPr>
    </w:p>
    <w:p w14:paraId="25854966" w14:textId="77777777" w:rsidR="00015B3C" w:rsidRDefault="00015B3C" w:rsidP="00015B3C">
      <w:pPr>
        <w:ind w:left="321" w:hangingChars="100" w:hanging="321"/>
        <w:jc w:val="center"/>
        <w:outlineLvl w:val="0"/>
        <w:rPr>
          <w:rFonts w:ascii="黑体" w:eastAsia="黑体" w:hAnsi="黑体"/>
          <w:b/>
          <w:sz w:val="32"/>
          <w:szCs w:val="32"/>
        </w:rPr>
      </w:pPr>
    </w:p>
    <w:p w14:paraId="73C85BD4" w14:textId="7898F53D" w:rsidR="00015B3C" w:rsidRDefault="00015B3C" w:rsidP="00015B3C">
      <w:pPr>
        <w:ind w:left="321" w:hangingChars="100" w:hanging="321"/>
        <w:jc w:val="center"/>
        <w:outlineLvl w:val="0"/>
        <w:rPr>
          <w:rFonts w:ascii="黑体" w:eastAsia="黑体" w:hAnsi="黑体"/>
          <w:b/>
          <w:sz w:val="32"/>
          <w:szCs w:val="32"/>
        </w:rPr>
      </w:pPr>
    </w:p>
    <w:p w14:paraId="1F05200B" w14:textId="22AB1BA4" w:rsidR="00C14132" w:rsidRDefault="00C14132" w:rsidP="00015B3C">
      <w:pPr>
        <w:ind w:left="321" w:hangingChars="100" w:hanging="321"/>
        <w:jc w:val="center"/>
        <w:outlineLvl w:val="0"/>
        <w:rPr>
          <w:rFonts w:ascii="黑体" w:eastAsia="黑体" w:hAnsi="黑体"/>
          <w:b/>
          <w:sz w:val="32"/>
          <w:szCs w:val="32"/>
        </w:rPr>
      </w:pPr>
    </w:p>
    <w:p w14:paraId="19502DA9" w14:textId="77777777" w:rsidR="00C14132" w:rsidRDefault="00C14132" w:rsidP="00015B3C">
      <w:pPr>
        <w:ind w:left="321" w:hangingChars="100" w:hanging="321"/>
        <w:jc w:val="center"/>
        <w:outlineLvl w:val="0"/>
        <w:rPr>
          <w:rFonts w:ascii="黑体" w:eastAsia="黑体" w:hAnsi="黑体" w:hint="eastAsia"/>
          <w:b/>
          <w:sz w:val="32"/>
          <w:szCs w:val="32"/>
        </w:rPr>
      </w:pPr>
    </w:p>
    <w:p w14:paraId="53C5A0D7" w14:textId="055D9FCE" w:rsidR="00015B3C" w:rsidRPr="00015B3C" w:rsidRDefault="00015B3C" w:rsidP="00015B3C">
      <w:pPr>
        <w:ind w:left="321" w:hangingChars="100" w:hanging="321"/>
        <w:jc w:val="center"/>
        <w:outlineLvl w:val="0"/>
        <w:rPr>
          <w:rFonts w:ascii="黑体" w:eastAsia="黑体" w:hAnsi="黑体"/>
          <w:b/>
          <w:sz w:val="32"/>
          <w:szCs w:val="32"/>
        </w:rPr>
      </w:pPr>
      <w:r w:rsidRPr="00015B3C">
        <w:rPr>
          <w:rFonts w:ascii="黑体" w:eastAsia="黑体" w:hAnsi="黑体" w:hint="eastAsia"/>
          <w:b/>
          <w:sz w:val="32"/>
          <w:szCs w:val="32"/>
        </w:rPr>
        <w:lastRenderedPageBreak/>
        <w:t>三、成果简介</w:t>
      </w:r>
    </w:p>
    <w:tbl>
      <w:tblPr>
        <w:tblStyle w:val="13"/>
        <w:tblW w:w="9795" w:type="dxa"/>
        <w:tblInd w:w="-612"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1E0" w:firstRow="1" w:lastRow="1" w:firstColumn="1" w:lastColumn="1" w:noHBand="0" w:noVBand="0"/>
      </w:tblPr>
      <w:tblGrid>
        <w:gridCol w:w="9795"/>
      </w:tblGrid>
      <w:tr w:rsidR="00015B3C" w14:paraId="6ADE0190" w14:textId="77777777" w:rsidTr="00AA38FB">
        <w:trPr>
          <w:trHeight w:val="12501"/>
        </w:trPr>
        <w:tc>
          <w:tcPr>
            <w:tcW w:w="9795" w:type="dxa"/>
            <w:tcBorders>
              <w:top w:val="nil"/>
              <w:left w:val="nil"/>
              <w:bottom w:val="nil"/>
              <w:right w:val="nil"/>
            </w:tcBorders>
            <w:hideMark/>
          </w:tcPr>
          <w:p w14:paraId="5FB84D71" w14:textId="77777777" w:rsidR="00015B3C" w:rsidRDefault="00015B3C" w:rsidP="00AA38FB">
            <w:pPr>
              <w:pStyle w:val="onormal"/>
            </w:pPr>
            <w:bookmarkStart w:id="1" w:name="xx_brief"/>
            <w:bookmarkStart w:id="2" w:name="xm_brief"/>
            <w:bookmarkEnd w:id="1"/>
            <w:bookmarkEnd w:id="2"/>
            <w:r>
              <w:t xml:space="preserve">    </w:t>
            </w:r>
            <w:r>
              <w:t>现代地球科学的重要进展之一，是认识到地表过程与地球深部过程通过复杂互馈机制相互耦合。盆地沉降与</w:t>
            </w:r>
            <w:proofErr w:type="gramStart"/>
            <w:r>
              <w:t>沉积既</w:t>
            </w:r>
            <w:proofErr w:type="gramEnd"/>
            <w:r>
              <w:t>记录地壳变形历史，也保存着深部地幔活动信息，反映出盆</w:t>
            </w:r>
            <w:r>
              <w:t>—</w:t>
            </w:r>
            <w:r>
              <w:t>山构造演化具有跨圈层、多尺度的深浅耦合特征。长期以来，地学界对岩石圈尺度盆</w:t>
            </w:r>
            <w:r>
              <w:t>—</w:t>
            </w:r>
            <w:r>
              <w:t>山构造演化研究较为深入，而对深部地幔动力过程及其浅表响应关注相对不足，深浅圈层耦合四维地球动力学研究体系仍有待完善。针对上述问题，本项目突破传统盆</w:t>
            </w:r>
            <w:r>
              <w:t>—</w:t>
            </w:r>
            <w:r>
              <w:t>山构造研究的圈层局限，将研究由岩石圈拓展至深部地幔，在揭示板块</w:t>
            </w:r>
            <w:r>
              <w:t>—</w:t>
            </w:r>
            <w:r>
              <w:t>地幔系统相互作用控制下的盆</w:t>
            </w:r>
            <w:r>
              <w:t>—</w:t>
            </w:r>
            <w:r>
              <w:t>山构造演化及俯冲行为突变机制方面取得了一系列重要成果，概括如下：</w:t>
            </w:r>
            <w:r>
              <w:t xml:space="preserve"> </w:t>
            </w:r>
          </w:p>
          <w:p w14:paraId="3C7FD320" w14:textId="77777777" w:rsidR="00015B3C" w:rsidRDefault="00015B3C" w:rsidP="00AA38FB">
            <w:pPr>
              <w:pStyle w:val="onormal"/>
            </w:pPr>
            <w:r>
              <w:t xml:space="preserve">    1. </w:t>
            </w:r>
            <w:r>
              <w:t>提出了华北及邻区盆</w:t>
            </w:r>
            <w:r>
              <w:t>—</w:t>
            </w:r>
            <w:r>
              <w:t>山耦合模型和</w:t>
            </w:r>
            <w:proofErr w:type="gramStart"/>
            <w:r>
              <w:t>可</w:t>
            </w:r>
            <w:proofErr w:type="gramEnd"/>
            <w:r>
              <w:t>变形板块构造重建模型，揭示了中生代盆</w:t>
            </w:r>
            <w:r>
              <w:t>—</w:t>
            </w:r>
            <w:r>
              <w:t>山构造演化</w:t>
            </w:r>
            <w:proofErr w:type="gramStart"/>
            <w:r>
              <w:t>及其受</w:t>
            </w:r>
            <w:proofErr w:type="gramEnd"/>
            <w:r>
              <w:t>周缘板块俯冲控制的动力学机制：中晚三叠</w:t>
            </w:r>
            <w:proofErr w:type="gramStart"/>
            <w:r>
              <w:t>世</w:t>
            </w:r>
            <w:proofErr w:type="gramEnd"/>
            <w:r>
              <w:t>，响应扬子板块与华北板块之间的斜向俯冲</w:t>
            </w:r>
            <w:r>
              <w:t>—</w:t>
            </w:r>
            <w:r>
              <w:t>碰撞作用，华北</w:t>
            </w:r>
            <w:r>
              <w:t>“</w:t>
            </w:r>
            <w:r>
              <w:t>大鄂尔多斯盆地</w:t>
            </w:r>
            <w:r>
              <w:t>”</w:t>
            </w:r>
            <w:r>
              <w:t>发生动力沉降；同时，响应古亚洲洋汇聚闭合过程，燕山构造带形成逆</w:t>
            </w:r>
            <w:proofErr w:type="gramStart"/>
            <w:r>
              <w:t>冲带</w:t>
            </w:r>
            <w:r>
              <w:t>-</w:t>
            </w:r>
            <w:r>
              <w:t>楔</w:t>
            </w:r>
            <w:proofErr w:type="gramEnd"/>
            <w:r>
              <w:t>顶盆地系统。侏罗纪</w:t>
            </w:r>
            <w:proofErr w:type="gramStart"/>
            <w:r>
              <w:t>—</w:t>
            </w:r>
            <w:r>
              <w:t>早白垩世</w:t>
            </w:r>
            <w:proofErr w:type="gramEnd"/>
            <w:r>
              <w:t>，初始逆冲变形、初始快速沉降中心</w:t>
            </w:r>
            <w:proofErr w:type="gramStart"/>
            <w:r>
              <w:t>西迁及白垩纪</w:t>
            </w:r>
            <w:proofErr w:type="gramEnd"/>
            <w:r>
              <w:t>裂谷作用东迁，分别记录了古太平洋板块向西平板俯冲及随后向东后撤俯冲过程及其对克拉通变形的控制。通过重建东北亚</w:t>
            </w:r>
            <w:r>
              <w:t>200 Ma</w:t>
            </w:r>
            <w:r>
              <w:t>以来可变形板块运动，定量恢复了大陆变形场及西太平洋板块俯冲</w:t>
            </w:r>
            <w:r>
              <w:t>—</w:t>
            </w:r>
            <w:r>
              <w:t>后撤历史，建立了板块运动与陆内变形统一的时空演化框架。该成果揭示了板块俯冲与克拉通变形之间的动力学联系，为板块</w:t>
            </w:r>
            <w:r>
              <w:t>—</w:t>
            </w:r>
            <w:r>
              <w:t>地幔系统四维地球动力学模拟提供了关键运动学约束，并为盆地形成与油气地质研究提供了重要地质依据。</w:t>
            </w:r>
            <w:r>
              <w:t xml:space="preserve"> </w:t>
            </w:r>
          </w:p>
          <w:p w14:paraId="0ED33BC2" w14:textId="77777777" w:rsidR="00015B3C" w:rsidRDefault="00015B3C" w:rsidP="00AA38FB">
            <w:pPr>
              <w:pStyle w:val="onormal"/>
            </w:pPr>
            <w:r>
              <w:t xml:space="preserve">    2. </w:t>
            </w:r>
            <w:r>
              <w:t>建立了东亚与西太平洋板块</w:t>
            </w:r>
            <w:r>
              <w:t>—</w:t>
            </w:r>
            <w:r>
              <w:t>地幔系统四维地球动力学模型，揭示了板块俯冲、地幔流动与岩石圈变形之间的深浅耦合机制：提出了古太平洋板块平板</w:t>
            </w:r>
            <w:r>
              <w:t>—</w:t>
            </w:r>
            <w:r>
              <w:t>后撤式俯冲演化模式，揭示平板俯冲导致华北克拉通岩石圈挤压增厚，而平板后撤诱发岩石圈伸展减薄及大地幔楔形成，促进克拉通解体；揭示了东北亚新生代板片后撤与海沟三联点迁移驱动地幔过渡带水平俯冲、板片撕裂、陆缘裂陷、动力地形演化及东亚低起伏地貌形成的深部动力学机制。该成果构建了融合地质、地球物理和残余沉降约束的四维动力学模拟方法体系，建立了板块俯冲、地幔流动与地表变形、地形演化之间的物理耦合机制，为理解大陆稳定性、去克拉通化作用及其沉积盆地响应提供了重要理论基础。</w:t>
            </w:r>
            <w:r>
              <w:t xml:space="preserve"> </w:t>
            </w:r>
          </w:p>
          <w:p w14:paraId="58A83FBE" w14:textId="77777777" w:rsidR="00015B3C" w:rsidRDefault="00015B3C" w:rsidP="00AA38FB">
            <w:pPr>
              <w:pStyle w:val="onormal"/>
            </w:pPr>
            <w:r>
              <w:t xml:space="preserve">    3. </w:t>
            </w:r>
            <w:r>
              <w:t>构建了俯冲体系热力学模型，揭示了俯冲起始及俯冲极性反转过程中板块</w:t>
            </w:r>
            <w:r>
              <w:t>—</w:t>
            </w:r>
            <w:r>
              <w:t>地幔耦合机制：提出残留岛弧促进自发俯冲启动的新机制，建立了热</w:t>
            </w:r>
            <w:r>
              <w:t>—</w:t>
            </w:r>
            <w:r>
              <w:t>成分密度差异协同驱动的新俯冲启动动力学模型，揭示年轻化残留岛弧是俯冲启动的关键构造环境，阐明了伊豆</w:t>
            </w:r>
            <w:r>
              <w:t>—</w:t>
            </w:r>
            <w:r>
              <w:t>小笠原</w:t>
            </w:r>
            <w:r>
              <w:t>—</w:t>
            </w:r>
            <w:r>
              <w:t>马里亚纳俯冲带俯冲启动的深部动力学机制。突破俯冲极性反转依赖外部挤压的传统认识，提出</w:t>
            </w:r>
            <w:r>
              <w:t>“</w:t>
            </w:r>
            <w:r>
              <w:t>自发型</w:t>
            </w:r>
            <w:r>
              <w:t>”</w:t>
            </w:r>
            <w:r>
              <w:t>和</w:t>
            </w:r>
            <w:r>
              <w:t>“</w:t>
            </w:r>
            <w:r>
              <w:t>诱发型</w:t>
            </w:r>
            <w:r>
              <w:t>”</w:t>
            </w:r>
            <w:r>
              <w:t>反转机制。该成果建立了俯冲体系演化的新动力学框架。</w:t>
            </w:r>
            <w:r>
              <w:t xml:space="preserve"> </w:t>
            </w:r>
          </w:p>
          <w:p w14:paraId="49A233B0" w14:textId="77777777" w:rsidR="00015B3C" w:rsidRDefault="00015B3C" w:rsidP="00AA38FB">
            <w:pPr>
              <w:pStyle w:val="onormal"/>
            </w:pPr>
            <w:r>
              <w:t>    </w:t>
            </w:r>
            <w:r>
              <w:t>本项目发表的</w:t>
            </w:r>
            <w:r>
              <w:t>8</w:t>
            </w:r>
            <w:r>
              <w:t>篇代表性论文被引用</w:t>
            </w:r>
            <w:r>
              <w:t xml:space="preserve"> 1171 </w:t>
            </w:r>
            <w:r>
              <w:t>次，其中他引</w:t>
            </w:r>
            <w:r>
              <w:t xml:space="preserve"> 1062</w:t>
            </w:r>
            <w:r>
              <w:t>，</w:t>
            </w:r>
            <w:r>
              <w:t xml:space="preserve">SCI </w:t>
            </w:r>
            <w:r>
              <w:t>他引</w:t>
            </w:r>
            <w:r>
              <w:t xml:space="preserve"> 721</w:t>
            </w:r>
            <w:r>
              <w:t>次，</w:t>
            </w:r>
            <w:r>
              <w:t>1</w:t>
            </w:r>
            <w:r>
              <w:t>篇论文入选</w:t>
            </w:r>
            <w:r>
              <w:t xml:space="preserve">ESI </w:t>
            </w:r>
            <w:r>
              <w:t>高被引论文（附件</w:t>
            </w:r>
            <w:r>
              <w:t xml:space="preserve"> 29</w:t>
            </w:r>
            <w:r>
              <w:t>）。在研究过程中，</w:t>
            </w:r>
            <w:r>
              <w:t xml:space="preserve">1 </w:t>
            </w:r>
            <w:r>
              <w:t>人获国家杰出青年科学基金，</w:t>
            </w:r>
            <w:r>
              <w:t>1</w:t>
            </w:r>
            <w:r>
              <w:t>人享受国务院政府特殊津贴（附件</w:t>
            </w:r>
            <w:r>
              <w:t xml:space="preserve"> 53-54</w:t>
            </w:r>
            <w:r>
              <w:t>）。</w:t>
            </w:r>
            <w:r>
              <w:t xml:space="preserve"> </w:t>
            </w:r>
          </w:p>
          <w:p w14:paraId="7C71C781" w14:textId="77777777" w:rsidR="00015B3C" w:rsidRDefault="00015B3C" w:rsidP="00AA38FB">
            <w:pPr>
              <w:widowControl/>
              <w:jc w:val="left"/>
              <w:rPr>
                <w:rFonts w:ascii="Times New Roman" w:hAnsi="Times New Roman"/>
                <w:b/>
              </w:rPr>
            </w:pPr>
          </w:p>
          <w:p w14:paraId="6E119BEC" w14:textId="77777777" w:rsidR="00015B3C" w:rsidRDefault="00015B3C" w:rsidP="00AA38FB">
            <w:pPr>
              <w:widowControl/>
              <w:jc w:val="left"/>
              <w:rPr>
                <w:rFonts w:ascii="Times New Roman" w:hAnsi="Times New Roman"/>
                <w:b/>
              </w:rPr>
            </w:pPr>
          </w:p>
          <w:p w14:paraId="3A595EEE" w14:textId="33F46005" w:rsidR="00015B3C" w:rsidRDefault="00015B3C" w:rsidP="00AA38FB">
            <w:pPr>
              <w:widowControl/>
              <w:jc w:val="left"/>
              <w:rPr>
                <w:rFonts w:ascii="Times New Roman" w:hAnsi="Times New Roman"/>
                <w:b/>
              </w:rPr>
            </w:pPr>
          </w:p>
          <w:p w14:paraId="41147F6D" w14:textId="77777777" w:rsidR="00C14132" w:rsidRDefault="00C14132" w:rsidP="00AA38FB">
            <w:pPr>
              <w:widowControl/>
              <w:jc w:val="left"/>
              <w:rPr>
                <w:rFonts w:ascii="Times New Roman" w:hAnsi="Times New Roman" w:hint="eastAsia"/>
                <w:b/>
              </w:rPr>
            </w:pPr>
          </w:p>
          <w:p w14:paraId="6EA5D4B4" w14:textId="3497B076" w:rsidR="00015B3C" w:rsidRDefault="00015B3C" w:rsidP="00AA38FB">
            <w:pPr>
              <w:widowControl/>
              <w:jc w:val="left"/>
              <w:rPr>
                <w:rFonts w:ascii="Times New Roman" w:hAnsi="Times New Roman"/>
                <w:b/>
              </w:rPr>
            </w:pPr>
          </w:p>
        </w:tc>
      </w:tr>
    </w:tbl>
    <w:p w14:paraId="34A67E43" w14:textId="1D9EA99A" w:rsidR="00015B3C" w:rsidRDefault="00015B3C" w:rsidP="00015B3C">
      <w:pPr>
        <w:pStyle w:val="a3"/>
        <w:spacing w:before="60" w:after="100"/>
      </w:pPr>
      <w:r>
        <w:rPr>
          <w:rFonts w:ascii="黑体" w:eastAsia="黑体" w:hAnsi="黑体" w:cs="Times New Roman" w:hint="eastAsia"/>
          <w:b/>
          <w:spacing w:val="0"/>
          <w:kern w:val="2"/>
          <w:sz w:val="32"/>
          <w:szCs w:val="32"/>
        </w:rPr>
        <w:lastRenderedPageBreak/>
        <w:t>四</w:t>
      </w:r>
      <w:r w:rsidRPr="00015B3C">
        <w:rPr>
          <w:rFonts w:ascii="黑体" w:eastAsia="黑体" w:hAnsi="黑体" w:cs="Times New Roman" w:hint="eastAsia"/>
          <w:b/>
          <w:spacing w:val="0"/>
          <w:kern w:val="2"/>
          <w:sz w:val="32"/>
          <w:szCs w:val="32"/>
        </w:rPr>
        <w:t>、客观评价</w:t>
      </w:r>
    </w:p>
    <w:tbl>
      <w:tblPr>
        <w:tblStyle w:val="13"/>
        <w:tblW w:w="9792" w:type="dxa"/>
        <w:tblInd w:w="-612"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1E0" w:firstRow="1" w:lastRow="1" w:firstColumn="1" w:lastColumn="1" w:noHBand="0" w:noVBand="0"/>
      </w:tblPr>
      <w:tblGrid>
        <w:gridCol w:w="9792"/>
      </w:tblGrid>
      <w:tr w:rsidR="00015B3C" w14:paraId="31E2FCCF" w14:textId="77777777" w:rsidTr="00AA38FB">
        <w:trPr>
          <w:trHeight w:val="12161"/>
        </w:trPr>
        <w:tc>
          <w:tcPr>
            <w:tcW w:w="9792" w:type="dxa"/>
            <w:tcBorders>
              <w:top w:val="nil"/>
              <w:left w:val="nil"/>
              <w:bottom w:val="nil"/>
              <w:right w:val="nil"/>
            </w:tcBorders>
            <w:hideMark/>
          </w:tcPr>
          <w:p w14:paraId="72468F34" w14:textId="77777777" w:rsidR="00015B3C" w:rsidRDefault="00015B3C" w:rsidP="00AA38FB">
            <w:pPr>
              <w:pStyle w:val="sonormal"/>
              <w:rPr>
                <w:b/>
                <w:bCs/>
              </w:rPr>
            </w:pPr>
            <w:r>
              <w:rPr>
                <w:b/>
                <w:bCs/>
              </w:rPr>
              <w:t xml:space="preserve">      </w:t>
            </w:r>
            <w:r>
              <w:rPr>
                <w:b/>
                <w:bCs/>
              </w:rPr>
              <w:t>本项目第</w:t>
            </w:r>
            <w:r>
              <w:rPr>
                <w:b/>
                <w:bCs/>
              </w:rPr>
              <w:t xml:space="preserve"> 1</w:t>
            </w:r>
            <w:r>
              <w:rPr>
                <w:b/>
                <w:bCs/>
              </w:rPr>
              <w:t>项重要科学成果的评价：</w:t>
            </w:r>
            <w:r>
              <w:rPr>
                <w:b/>
                <w:bCs/>
              </w:rPr>
              <w:t xml:space="preserve"> </w:t>
            </w:r>
          </w:p>
          <w:p w14:paraId="17F0A6F1" w14:textId="77777777" w:rsidR="00015B3C" w:rsidRDefault="00015B3C" w:rsidP="00AA38FB">
            <w:pPr>
              <w:pStyle w:val="sonormal"/>
            </w:pPr>
            <w:r>
              <w:rPr>
                <w:b/>
                <w:bCs/>
              </w:rPr>
              <w:t>      </w:t>
            </w:r>
            <w:r>
              <w:t>（</w:t>
            </w:r>
            <w:r>
              <w:t>1</w:t>
            </w:r>
            <w:r>
              <w:t>）刘少峰等发表的古特提斯洋东北支斜向关闭研究成果（</w:t>
            </w:r>
            <w:r>
              <w:t>Liu et al., 2015</w:t>
            </w:r>
            <w:r>
              <w:t>）被</w:t>
            </w:r>
            <w:r>
              <w:t>EPSL</w:t>
            </w:r>
            <w:r>
              <w:t>、</w:t>
            </w:r>
            <w:r>
              <w:t>Geology</w:t>
            </w:r>
            <w:r>
              <w:t>和</w:t>
            </w:r>
            <w:r>
              <w:t>GRL</w:t>
            </w:r>
            <w:r>
              <w:t>等期刊引用。丁林院士团队在</w:t>
            </w:r>
            <w:r>
              <w:t xml:space="preserve">EPSL </w:t>
            </w:r>
            <w:r>
              <w:t>中指出（附件</w:t>
            </w:r>
            <w:r>
              <w:t>22</w:t>
            </w:r>
            <w:r>
              <w:t>），该研究为</w:t>
            </w:r>
            <w:r>
              <w:t>“</w:t>
            </w:r>
            <w:r>
              <w:t>青藏羌塘地块与塔里木</w:t>
            </w:r>
            <w:r>
              <w:t>—</w:t>
            </w:r>
            <w:r>
              <w:t>华北板块之间的古特提斯洋中段闭合时间为晚三叠</w:t>
            </w:r>
            <w:proofErr w:type="gramStart"/>
            <w:r>
              <w:t>世</w:t>
            </w:r>
            <w:proofErr w:type="gramEnd"/>
            <w:r>
              <w:t>的结论提供了地质观测支持</w:t>
            </w:r>
            <w:r>
              <w:t>”</w:t>
            </w:r>
            <w:r>
              <w:t>；并指出，</w:t>
            </w:r>
            <w:r>
              <w:t>“</w:t>
            </w:r>
            <w:r>
              <w:t>野外产状、褶皱</w:t>
            </w:r>
            <w:r>
              <w:t>—</w:t>
            </w:r>
            <w:r>
              <w:t>冲断带变形等证据均表明，华南板块与华北板块的拼合最可能发生在晚三叠</w:t>
            </w:r>
            <w:proofErr w:type="gramStart"/>
            <w:r>
              <w:t>世</w:t>
            </w:r>
            <w:proofErr w:type="gramEnd"/>
            <w:r>
              <w:t>”</w:t>
            </w:r>
            <w:r>
              <w:t>。黄宝春教授发表于</w:t>
            </w:r>
            <w:r>
              <w:t xml:space="preserve">EPSL </w:t>
            </w:r>
            <w:r>
              <w:t>的论文引用该成果，为其</w:t>
            </w:r>
            <w:r>
              <w:t>“</w:t>
            </w:r>
            <w:r>
              <w:t>印支地块位置重建</w:t>
            </w:r>
            <w:r>
              <w:t>”</w:t>
            </w:r>
            <w:r>
              <w:t>提供地质证据（附件</w:t>
            </w:r>
            <w:r>
              <w:t>39</w:t>
            </w:r>
            <w:r>
              <w:t>）。杨江海、</w:t>
            </w:r>
            <w:proofErr w:type="spellStart"/>
            <w:r>
              <w:t>Cawood</w:t>
            </w:r>
            <w:proofErr w:type="spellEnd"/>
            <w:r>
              <w:t>等发表于</w:t>
            </w:r>
            <w:r>
              <w:t>GRL</w:t>
            </w:r>
            <w:r>
              <w:t>的论文引用该成果（附件</w:t>
            </w:r>
            <w:r>
              <w:t>40</w:t>
            </w:r>
            <w:r>
              <w:t>），支持沿</w:t>
            </w:r>
            <w:proofErr w:type="gramStart"/>
            <w:r>
              <w:t>勉</w:t>
            </w:r>
            <w:proofErr w:type="gramEnd"/>
            <w:r>
              <w:t>略缝合带发生</w:t>
            </w:r>
            <w:r>
              <w:t>“</w:t>
            </w:r>
            <w:r>
              <w:t>碰撞造山</w:t>
            </w:r>
            <w:r>
              <w:t>”</w:t>
            </w:r>
            <w:r>
              <w:t>、</w:t>
            </w:r>
            <w:r>
              <w:t>“</w:t>
            </w:r>
            <w:r>
              <w:t>华南北部晚三叠世气候湿润化过程</w:t>
            </w:r>
            <w:r>
              <w:t>”</w:t>
            </w:r>
            <w:r>
              <w:t>以及</w:t>
            </w:r>
            <w:r>
              <w:t>“</w:t>
            </w:r>
            <w:r>
              <w:t>造山带持续隆升剥露，逐渐成为前陆盆地主导物源区</w:t>
            </w:r>
            <w:r>
              <w:t>”</w:t>
            </w:r>
            <w:r>
              <w:t>等重要认识。</w:t>
            </w:r>
            <w:r>
              <w:t xml:space="preserve"> </w:t>
            </w:r>
          </w:p>
          <w:p w14:paraId="06413882" w14:textId="77777777" w:rsidR="00015B3C" w:rsidRDefault="00015B3C" w:rsidP="00AA38FB">
            <w:pPr>
              <w:pStyle w:val="sonormal"/>
            </w:pPr>
            <w:r>
              <w:rPr>
                <w:b/>
                <w:bCs/>
              </w:rPr>
              <w:t>      </w:t>
            </w:r>
            <w:r>
              <w:t>（</w:t>
            </w:r>
            <w:r>
              <w:t>2</w:t>
            </w:r>
            <w:r>
              <w:t>）刘少峰等发表的华北早中生代盆地演化研究成果（</w:t>
            </w:r>
            <w:r>
              <w:t>Liu et al., 2013</w:t>
            </w:r>
            <w:r>
              <w:t>）被</w:t>
            </w:r>
            <w:r>
              <w:t>PNAS</w:t>
            </w:r>
            <w:r>
              <w:t>、</w:t>
            </w:r>
            <w:r>
              <w:t>EPSL</w:t>
            </w:r>
            <w:r>
              <w:t>、</w:t>
            </w:r>
            <w:r>
              <w:t>Sci Adv</w:t>
            </w:r>
            <w:r>
              <w:t>等期刊引用（附件</w:t>
            </w:r>
            <w:r>
              <w:t>23</w:t>
            </w:r>
            <w:r>
              <w:t>，</w:t>
            </w:r>
            <w:r>
              <w:t>41-43</w:t>
            </w:r>
            <w:r>
              <w:t>）。鲁静教授和英国</w:t>
            </w:r>
            <w:r>
              <w:t>Hilton</w:t>
            </w:r>
            <w:r>
              <w:t>教授团队发表于</w:t>
            </w:r>
            <w:r>
              <w:t xml:space="preserve">PNAS </w:t>
            </w:r>
            <w:r>
              <w:t>和</w:t>
            </w:r>
            <w:r>
              <w:t>EPSL</w:t>
            </w:r>
            <w:r>
              <w:t>的论文，在探讨晚三叠</w:t>
            </w:r>
            <w:proofErr w:type="gramStart"/>
            <w:r>
              <w:t>世</w:t>
            </w:r>
            <w:proofErr w:type="gramEnd"/>
            <w:r>
              <w:t>湿润期生态系统演化时，引用了该成果建立的</w:t>
            </w:r>
            <w:r>
              <w:t>“</w:t>
            </w:r>
            <w:r>
              <w:t>构造古地理图</w:t>
            </w:r>
            <w:r>
              <w:t>”</w:t>
            </w:r>
            <w:r>
              <w:t>和</w:t>
            </w:r>
            <w:r>
              <w:t>“</w:t>
            </w:r>
            <w:r>
              <w:t>沉积中心迁移</w:t>
            </w:r>
            <w:r>
              <w:t>”</w:t>
            </w:r>
            <w:r>
              <w:t>模式（附件</w:t>
            </w:r>
            <w:r>
              <w:t xml:space="preserve"> 23</w:t>
            </w:r>
            <w:r>
              <w:t>，</w:t>
            </w:r>
            <w:r>
              <w:t>41</w:t>
            </w:r>
            <w:r>
              <w:t>）；刘全有教授、金之钧院士等发表于</w:t>
            </w:r>
            <w:r>
              <w:t>Sci Adv</w:t>
            </w:r>
            <w:r>
              <w:t>的论文，在研究火山活动与化学风化强度关系时，引用该成果关于</w:t>
            </w:r>
            <w:r>
              <w:t>“</w:t>
            </w:r>
            <w:r>
              <w:t>华南与华北碰撞造山</w:t>
            </w:r>
            <w:r>
              <w:t>”</w:t>
            </w:r>
            <w:r>
              <w:t>、</w:t>
            </w:r>
            <w:r>
              <w:t>“</w:t>
            </w:r>
            <w:r>
              <w:t>盆地沉积中心迁移</w:t>
            </w:r>
            <w:r>
              <w:t>”</w:t>
            </w:r>
            <w:r>
              <w:t>及</w:t>
            </w:r>
            <w:r>
              <w:t>“</w:t>
            </w:r>
            <w:r>
              <w:t>边缘造山带快速隆升</w:t>
            </w:r>
            <w:r>
              <w:t>”</w:t>
            </w:r>
            <w:r>
              <w:t>的地质认识（附件</w:t>
            </w:r>
            <w:r>
              <w:t>42</w:t>
            </w:r>
            <w:r>
              <w:t>）。</w:t>
            </w:r>
            <w:r>
              <w:t>Clinkscales</w:t>
            </w:r>
            <w:r>
              <w:t>和</w:t>
            </w:r>
            <w:r>
              <w:t>Kapp</w:t>
            </w:r>
            <w:r>
              <w:t>等发表于</w:t>
            </w:r>
            <w:r>
              <w:t>EPSL</w:t>
            </w:r>
            <w:r>
              <w:t>的论文引用该成果（附件</w:t>
            </w:r>
            <w:r>
              <w:t xml:space="preserve"> 43</w:t>
            </w:r>
            <w:r>
              <w:t>），并指出：</w:t>
            </w:r>
            <w:r>
              <w:t>“</w:t>
            </w:r>
            <w:r>
              <w:t>至中生代时期，华北被动大陆边缘演化为一个广阔的克拉通内盆地，该盆地发育于华北克拉通与华南克拉通碰撞形成的造山带北侧。</w:t>
            </w:r>
            <w:r>
              <w:t xml:space="preserve">” </w:t>
            </w:r>
          </w:p>
          <w:p w14:paraId="0F21753F" w14:textId="77777777" w:rsidR="00015B3C" w:rsidRDefault="00015B3C" w:rsidP="00AA38FB">
            <w:pPr>
              <w:pStyle w:val="sonormal"/>
            </w:pPr>
            <w:r>
              <w:rPr>
                <w:b/>
                <w:bCs/>
              </w:rPr>
              <w:t>      </w:t>
            </w:r>
            <w:r>
              <w:t>（</w:t>
            </w:r>
            <w:r>
              <w:t>3</w:t>
            </w:r>
            <w:r>
              <w:t>）刘少峰等发表的变形重建成果（</w:t>
            </w:r>
            <w:r>
              <w:t>Liu et al., 2017</w:t>
            </w:r>
            <w:r>
              <w:t>）入选</w:t>
            </w:r>
            <w:r>
              <w:t>ESI</w:t>
            </w:r>
            <w:r>
              <w:t>高被引论文。</w:t>
            </w:r>
            <w:r>
              <w:t>Seton</w:t>
            </w:r>
            <w:r>
              <w:t>等在</w:t>
            </w:r>
            <w:r>
              <w:t>Nature Reviews Earth &amp; Environment</w:t>
            </w:r>
            <w:r>
              <w:t>论文中指出（附件</w:t>
            </w:r>
            <w:r>
              <w:t xml:space="preserve"> 30</w:t>
            </w:r>
            <w:r>
              <w:t>），</w:t>
            </w:r>
            <w:r>
              <w:t>“</w:t>
            </w:r>
            <w:proofErr w:type="spellStart"/>
            <w:r>
              <w:t>GPlates</w:t>
            </w:r>
            <w:proofErr w:type="spellEnd"/>
            <w:r>
              <w:t>中新增加的用于构建连续介质变形模型的工具，推动了区域和全球尺度可变形重建的发展</w:t>
            </w:r>
            <w:r>
              <w:t>”</w:t>
            </w:r>
            <w:r>
              <w:t>。朱日祥、赵国春和肖文交院士等发表于</w:t>
            </w:r>
            <w:r>
              <w:t>Reviews of Geophysics</w:t>
            </w:r>
            <w:r>
              <w:t>的文章引用了该成果（附件</w:t>
            </w:r>
            <w:r>
              <w:t>17</w:t>
            </w:r>
            <w:r>
              <w:t>），并指出：</w:t>
            </w:r>
            <w:r>
              <w:t>“</w:t>
            </w:r>
            <w:r>
              <w:t>在西太平洋</w:t>
            </w:r>
            <w:r>
              <w:t>—</w:t>
            </w:r>
            <w:r>
              <w:t>东亚地区，自晚中生代至新生代发育了大规模陆内伸展盆地和弧后盆地。这些盆地与板块</w:t>
            </w:r>
            <w:proofErr w:type="gramStart"/>
            <w:r>
              <w:t>陡</w:t>
            </w:r>
            <w:proofErr w:type="gramEnd"/>
            <w:r>
              <w:t>倾角俯冲及后撤密切相关，并最终形成了以伸展作用为主导的沟</w:t>
            </w:r>
            <w:r>
              <w:t>—</w:t>
            </w:r>
            <w:r>
              <w:t>弧</w:t>
            </w:r>
            <w:r>
              <w:t>—</w:t>
            </w:r>
            <w:r>
              <w:t>盆体系。</w:t>
            </w:r>
            <w:r>
              <w:t xml:space="preserve">” </w:t>
            </w:r>
            <w:r>
              <w:t>该认识支持了西太平洋俯冲与东亚构造体制转换之间的联系。此外，该成果被</w:t>
            </w:r>
            <w:r>
              <w:t>Müller</w:t>
            </w:r>
            <w:r>
              <w:t>院士等纳入全球可变形板块构造模型，刘少峰作为合作者参与相关研究并发表于</w:t>
            </w:r>
            <w:r>
              <w:t>Tectonics</w:t>
            </w:r>
            <w:r>
              <w:t>（</w:t>
            </w:r>
            <w:r>
              <w:t>Müller et al., 2019</w:t>
            </w:r>
            <w:r>
              <w:t>）（附件</w:t>
            </w:r>
            <w:r>
              <w:t xml:space="preserve"> 31</w:t>
            </w:r>
            <w:r>
              <w:t>）。该模型已成为国际板块构造研究的重要基础框架，相关论文被</w:t>
            </w:r>
            <w:r>
              <w:t>Nature</w:t>
            </w:r>
            <w:r>
              <w:t>、</w:t>
            </w:r>
            <w:r>
              <w:t>Science</w:t>
            </w:r>
            <w:r>
              <w:t>系列及</w:t>
            </w:r>
            <w:r>
              <w:t>PNAS</w:t>
            </w:r>
            <w:r>
              <w:t>等他引</w:t>
            </w:r>
            <w:r>
              <w:t>32</w:t>
            </w:r>
            <w:r>
              <w:t>次以上（附件</w:t>
            </w:r>
            <w:r>
              <w:t xml:space="preserve"> 45</w:t>
            </w:r>
            <w:r>
              <w:t>）。</w:t>
            </w:r>
            <w:r>
              <w:t xml:space="preserve"> </w:t>
            </w:r>
          </w:p>
          <w:p w14:paraId="119BB733" w14:textId="77777777" w:rsidR="00015B3C" w:rsidRDefault="00015B3C" w:rsidP="00AA38FB">
            <w:pPr>
              <w:pStyle w:val="sonormal"/>
            </w:pPr>
            <w:r>
              <w:rPr>
                <w:b/>
                <w:bCs/>
              </w:rPr>
              <w:t>      </w:t>
            </w:r>
            <w:r>
              <w:t>（</w:t>
            </w:r>
            <w:r>
              <w:t>4</w:t>
            </w:r>
            <w:r>
              <w:t>）刘少峰等发表的燕山同构造沉积作用的研究成果（</w:t>
            </w:r>
            <w:r>
              <w:t>Liu et al., 2018</w:t>
            </w:r>
            <w:r>
              <w:t>）被</w:t>
            </w:r>
            <w:r>
              <w:t>Earth Sci. Rev.</w:t>
            </w:r>
            <w:r>
              <w:t>、</w:t>
            </w:r>
            <w:r>
              <w:t>GSA Bulletin</w:t>
            </w:r>
            <w:r>
              <w:t>和</w:t>
            </w:r>
            <w:r>
              <w:t>Tectonics</w:t>
            </w:r>
            <w:r>
              <w:t>等期刊引用（附件</w:t>
            </w:r>
            <w:r>
              <w:t xml:space="preserve"> 16</w:t>
            </w:r>
            <w:r>
              <w:t>，</w:t>
            </w:r>
            <w:r>
              <w:t>24</w:t>
            </w:r>
            <w:r>
              <w:t>，</w:t>
            </w:r>
            <w:r>
              <w:t>44</w:t>
            </w:r>
            <w:r>
              <w:t>）。梁琛岳教授团队在</w:t>
            </w:r>
            <w:r>
              <w:t>Earth Sci. Rev.</w:t>
            </w:r>
            <w:r>
              <w:t>的论文中引用该成果（附件</w:t>
            </w:r>
            <w:r>
              <w:t xml:space="preserve"> 44</w:t>
            </w:r>
            <w:r>
              <w:t>），认为</w:t>
            </w:r>
            <w:proofErr w:type="gramStart"/>
            <w:r>
              <w:t>：</w:t>
            </w:r>
            <w:r>
              <w:t>“</w:t>
            </w:r>
            <w:proofErr w:type="gramEnd"/>
            <w:r>
              <w:t>华北克拉通中晚中生代挤压变形不仅局限于北京西山地区，而是在邻区广泛发育，包括张家口褶皱逆冲系统等多个构造带。</w:t>
            </w:r>
            <w:r>
              <w:t>”</w:t>
            </w:r>
            <w:r>
              <w:t>朱日祥院士团队发表在</w:t>
            </w:r>
            <w:r>
              <w:t>GSA Bulletin</w:t>
            </w:r>
            <w:r>
              <w:t>的论文引用了该成果（附件</w:t>
            </w:r>
            <w:r>
              <w:t>24</w:t>
            </w:r>
            <w:r>
              <w:t>），并将年代学数据用于燕山褶皱冲断带侏罗纪地层序列的时代约束和区域对比，建立华北克拉通侏罗纪地层年代格架（文中的</w:t>
            </w:r>
            <w:r>
              <w:t>Figure 10</w:t>
            </w:r>
            <w:r>
              <w:t>）。</w:t>
            </w:r>
            <w:r>
              <w:t xml:space="preserve"> </w:t>
            </w:r>
          </w:p>
          <w:p w14:paraId="1DCFD3AE" w14:textId="77777777" w:rsidR="00015B3C" w:rsidRDefault="00015B3C" w:rsidP="00AA38FB">
            <w:pPr>
              <w:pStyle w:val="sonormal"/>
              <w:rPr>
                <w:b/>
                <w:bCs/>
              </w:rPr>
            </w:pPr>
            <w:r>
              <w:rPr>
                <w:b/>
                <w:bCs/>
              </w:rPr>
              <w:t>      </w:t>
            </w:r>
            <w:r>
              <w:rPr>
                <w:b/>
                <w:bCs/>
              </w:rPr>
              <w:t>本项目第</w:t>
            </w:r>
            <w:r>
              <w:rPr>
                <w:b/>
                <w:bCs/>
              </w:rPr>
              <w:t xml:space="preserve"> 2</w:t>
            </w:r>
            <w:r>
              <w:rPr>
                <w:b/>
                <w:bCs/>
              </w:rPr>
              <w:t>项重要科学成果的评价：</w:t>
            </w:r>
            <w:r>
              <w:rPr>
                <w:b/>
                <w:bCs/>
              </w:rPr>
              <w:t xml:space="preserve"> </w:t>
            </w:r>
          </w:p>
          <w:p w14:paraId="48F87DDF" w14:textId="77777777" w:rsidR="00015B3C" w:rsidRDefault="00015B3C" w:rsidP="00AA38FB">
            <w:pPr>
              <w:pStyle w:val="sonormal"/>
            </w:pPr>
            <w:r>
              <w:rPr>
                <w:b/>
                <w:bCs/>
              </w:rPr>
              <w:t>      </w:t>
            </w:r>
            <w:r>
              <w:t>（</w:t>
            </w:r>
            <w:r>
              <w:t>1</w:t>
            </w:r>
            <w:r>
              <w:t>）刘少峰、马鹏斐等发表的东亚陆缘深部水平板片俯冲的研究成果（</w:t>
            </w:r>
            <w:r>
              <w:t xml:space="preserve">Liu et al., 2021 </w:t>
            </w:r>
            <w:r>
              <w:lastRenderedPageBreak/>
              <w:t>和</w:t>
            </w:r>
            <w:r>
              <w:t xml:space="preserve">Ma et al., 2019 </w:t>
            </w:r>
            <w:r>
              <w:t>）被</w:t>
            </w:r>
            <w:r>
              <w:t>Nature Communications</w:t>
            </w:r>
            <w:r>
              <w:t>、</w:t>
            </w:r>
            <w:r>
              <w:t>Earth-Science Reviews</w:t>
            </w:r>
            <w:r>
              <w:t>、</w:t>
            </w:r>
            <w:r>
              <w:t>JGR Solid Earth</w:t>
            </w:r>
            <w:r>
              <w:t>、</w:t>
            </w:r>
            <w:r>
              <w:t>GRL</w:t>
            </w:r>
            <w:r>
              <w:t>和</w:t>
            </w:r>
            <w:r>
              <w:t>Geochemistry, Geophysics, Geosystems</w:t>
            </w:r>
            <w:r>
              <w:t>等期刊大量引用（附件</w:t>
            </w:r>
            <w:r>
              <w:t xml:space="preserve"> 11-12</w:t>
            </w:r>
            <w:r>
              <w:t>，</w:t>
            </w:r>
            <w:r>
              <w:t>19-20</w:t>
            </w:r>
            <w:r>
              <w:t>，</w:t>
            </w:r>
            <w:r>
              <w:t>34-36</w:t>
            </w:r>
            <w:r>
              <w:t>）。美国科罗拉多大学博尔德分校钟时杰教授团队发表于</w:t>
            </w:r>
            <w:r>
              <w:t xml:space="preserve"> GRL</w:t>
            </w:r>
            <w:r>
              <w:t>的论文指出，</w:t>
            </w:r>
            <w:r>
              <w:t>Liu et al. (2021)</w:t>
            </w:r>
            <w:r>
              <w:t>的成果</w:t>
            </w:r>
            <w:r>
              <w:t>“</w:t>
            </w:r>
            <w:r>
              <w:t>基于真实板块运动历史约束的全球地幔流动模型，对理解地震观测揭示的水平停滞板片成因至关重要</w:t>
            </w:r>
            <w:r>
              <w:t>”</w:t>
            </w:r>
            <w:r>
              <w:t>（附件</w:t>
            </w:r>
            <w:r>
              <w:t xml:space="preserve"> 19</w:t>
            </w:r>
            <w:r>
              <w:t>）。张贵宾、赵大鹏教授等在</w:t>
            </w:r>
            <w:r>
              <w:t>JGR Solid Earth</w:t>
            </w:r>
            <w:r>
              <w:t>中指出：</w:t>
            </w:r>
            <w:r>
              <w:t xml:space="preserve">“Liu </w:t>
            </w:r>
            <w:r>
              <w:t>等提出，随着菲律宾海板块顺时针旋转，大量撕裂结构在俯冲的太平洋板片中传播，导致板片内部发生破裂</w:t>
            </w:r>
            <w:r>
              <w:t>”</w:t>
            </w:r>
            <w:r>
              <w:t>（附件</w:t>
            </w:r>
            <w:r>
              <w:t xml:space="preserve"> 34</w:t>
            </w:r>
            <w:r>
              <w:t>）。</w:t>
            </w:r>
            <w:r>
              <w:t>Jonny Wu</w:t>
            </w:r>
            <w:r>
              <w:t>教授等引用</w:t>
            </w:r>
            <w:r>
              <w:t>Liu et al. (2021)</w:t>
            </w:r>
            <w:r>
              <w:t>和</w:t>
            </w:r>
            <w:r>
              <w:t>Ma et al. (2019)</w:t>
            </w:r>
            <w:r>
              <w:t>的成果（附件</w:t>
            </w:r>
            <w:r>
              <w:t xml:space="preserve"> 35</w:t>
            </w:r>
            <w:r>
              <w:t>），并指出：</w:t>
            </w:r>
            <w:r>
              <w:t>“</w:t>
            </w:r>
            <w:r>
              <w:t>将模型预测的地幔结构与地震层析成像揭示的地幔结构进行对比，已经成为许多东亚地球动力学研究的常规检验方法。</w:t>
            </w:r>
            <w:r>
              <w:t>”</w:t>
            </w:r>
            <w:r>
              <w:t>赵大鹏教授等引用</w:t>
            </w:r>
            <w:r>
              <w:t>Liu et al. (2021)</w:t>
            </w:r>
            <w:r>
              <w:t>（附件</w:t>
            </w:r>
            <w:r>
              <w:t xml:space="preserve"> 36</w:t>
            </w:r>
            <w:r>
              <w:t>），指出：</w:t>
            </w:r>
            <w:r>
              <w:t>“Liu</w:t>
            </w:r>
            <w:r>
              <w:t>等基于包含三海沟三联点迁移约束的可变形板块重建，建立地幔流动正演模型，并提出菲律宾海板块顺时针旋转导致俯冲太平洋板片发生渐进式撕裂。</w:t>
            </w:r>
            <w:r>
              <w:t>”</w:t>
            </w:r>
            <w:r>
              <w:t>陈棋福研究员等在</w:t>
            </w:r>
            <w:r>
              <w:t>GRL</w:t>
            </w:r>
            <w:r>
              <w:t>论文中进一步指出：</w:t>
            </w:r>
            <w:r>
              <w:t>“Ma</w:t>
            </w:r>
            <w:r>
              <w:t>等的四维地球动力学模拟表明，菲律宾海板块中新世顺时针旋转导致俯冲太平洋板片内部发生显著撕裂，并造成东亚大陆边缘下方俯冲板片的内部分段化</w:t>
            </w:r>
            <w:r>
              <w:t>”</w:t>
            </w:r>
            <w:r>
              <w:t>（附件</w:t>
            </w:r>
            <w:r>
              <w:t>20</w:t>
            </w:r>
            <w:r>
              <w:t>）。上述评价表明，</w:t>
            </w:r>
            <w:r>
              <w:t>“</w:t>
            </w:r>
            <w:r>
              <w:t>板块旋转</w:t>
            </w:r>
            <w:r>
              <w:t>—</w:t>
            </w:r>
            <w:r>
              <w:t>板片撕裂</w:t>
            </w:r>
            <w:r>
              <w:t>”</w:t>
            </w:r>
            <w:r>
              <w:t>机制为解释西太平洋深部板片结构及区域地幔动力学提供了重要依据。</w:t>
            </w:r>
            <w:r>
              <w:t xml:space="preserve"> </w:t>
            </w:r>
          </w:p>
          <w:p w14:paraId="0001AEAE" w14:textId="77777777" w:rsidR="00015B3C" w:rsidRDefault="00015B3C" w:rsidP="00AA38FB">
            <w:pPr>
              <w:pStyle w:val="sonormal"/>
              <w:rPr>
                <w:b/>
                <w:bCs/>
              </w:rPr>
            </w:pPr>
            <w:r>
              <w:rPr>
                <w:b/>
                <w:bCs/>
              </w:rPr>
              <w:t>      </w:t>
            </w:r>
            <w:r>
              <w:rPr>
                <w:b/>
                <w:bCs/>
              </w:rPr>
              <w:t>本项目第</w:t>
            </w:r>
            <w:r>
              <w:rPr>
                <w:b/>
                <w:bCs/>
              </w:rPr>
              <w:t xml:space="preserve"> 3</w:t>
            </w:r>
            <w:r>
              <w:rPr>
                <w:b/>
                <w:bCs/>
              </w:rPr>
              <w:t>项重要科学成果的评价：</w:t>
            </w:r>
            <w:r>
              <w:rPr>
                <w:b/>
                <w:bCs/>
              </w:rPr>
              <w:t xml:space="preserve"> </w:t>
            </w:r>
          </w:p>
          <w:p w14:paraId="5B96F471" w14:textId="77777777" w:rsidR="00015B3C" w:rsidRDefault="00015B3C" w:rsidP="00AA38FB">
            <w:pPr>
              <w:pStyle w:val="sonormal"/>
            </w:pPr>
            <w:r>
              <w:rPr>
                <w:b/>
                <w:bCs/>
              </w:rPr>
              <w:t>      </w:t>
            </w:r>
            <w:r>
              <w:t>（</w:t>
            </w:r>
            <w:r>
              <w:t>1</w:t>
            </w:r>
            <w:r>
              <w:t>）冷</w:t>
            </w:r>
            <w:proofErr w:type="gramStart"/>
            <w:r>
              <w:t>伟发表</w:t>
            </w:r>
            <w:proofErr w:type="gramEnd"/>
            <w:r>
              <w:t>在</w:t>
            </w:r>
            <w:r>
              <w:t>GRL</w:t>
            </w:r>
            <w:r>
              <w:t>（</w:t>
            </w:r>
            <w:r>
              <w:t>2015</w:t>
            </w:r>
            <w:r>
              <w:t>）的俯冲起始的成果被</w:t>
            </w:r>
            <w:r>
              <w:t>Nature Geoscience</w:t>
            </w:r>
            <w:r>
              <w:t>、</w:t>
            </w:r>
            <w:r>
              <w:t>Science Advance</w:t>
            </w:r>
            <w:r>
              <w:t>、</w:t>
            </w:r>
            <w:r>
              <w:t>PNAS</w:t>
            </w:r>
            <w:r>
              <w:t>、</w:t>
            </w:r>
            <w:r>
              <w:t>Nature Communications</w:t>
            </w:r>
            <w:r>
              <w:t>、</w:t>
            </w:r>
            <w:r>
              <w:t>EPSL</w:t>
            </w:r>
            <w:r>
              <w:t>、</w:t>
            </w:r>
            <w:r>
              <w:t>Geology</w:t>
            </w:r>
            <w:r>
              <w:t>和</w:t>
            </w:r>
            <w:r>
              <w:t>GRL</w:t>
            </w:r>
            <w:r>
              <w:t>等期刊论文广泛引用（附件</w:t>
            </w:r>
            <w:r>
              <w:t>10</w:t>
            </w:r>
            <w:r>
              <w:t>，</w:t>
            </w:r>
            <w:r>
              <w:t>18</w:t>
            </w:r>
            <w:r>
              <w:t>，</w:t>
            </w:r>
            <w:r>
              <w:t>32-33</w:t>
            </w:r>
            <w:r>
              <w:t>）。</w:t>
            </w:r>
            <w:r>
              <w:t>Maunder</w:t>
            </w:r>
            <w:r>
              <w:t>等在</w:t>
            </w:r>
            <w:r>
              <w:t>Nature Communications</w:t>
            </w:r>
            <w:r>
              <w:t>论文中指出，板块年龄差异、残余岛弧或地幔柱改造形成的浮力差异，可能导致转换断层两侧不同性质板块的并置，从而促进</w:t>
            </w:r>
            <w:r>
              <w:t>IBM</w:t>
            </w:r>
            <w:r>
              <w:t>俯冲起始（附件</w:t>
            </w:r>
            <w:r>
              <w:t>18</w:t>
            </w:r>
            <w:r>
              <w:t>），支持了残留岛弧及密度差异促进俯冲启动的动力学认识。李忠海教授团队在</w:t>
            </w:r>
            <w:r>
              <w:t>Geology</w:t>
            </w:r>
            <w:r>
              <w:t>论文中引用该成果（附件</w:t>
            </w:r>
            <w:r>
              <w:t>33</w:t>
            </w:r>
            <w:r>
              <w:t>），指出：</w:t>
            </w:r>
            <w:r>
              <w:t>“</w:t>
            </w:r>
            <w:r>
              <w:t>已有研究表明，</w:t>
            </w:r>
            <w:r>
              <w:t>IBM</w:t>
            </w:r>
            <w:r>
              <w:t>俯冲起始时俯冲板片年龄约为</w:t>
            </w:r>
            <w:r>
              <w:t>50–70 Ma</w:t>
            </w:r>
            <w:r>
              <w:t>，这可能导致俯冲带快速传播并形成较小的弧形弯曲。</w:t>
            </w:r>
            <w:r>
              <w:t>”</w:t>
            </w:r>
            <w:r>
              <w:t>胡家顺教授团队在</w:t>
            </w:r>
            <w:r>
              <w:t>Nature Communications</w:t>
            </w:r>
            <w:r>
              <w:t>论文中指出，</w:t>
            </w:r>
            <w:r>
              <w:t>“</w:t>
            </w:r>
            <w:r>
              <w:t>在伊豆</w:t>
            </w:r>
            <w:r>
              <w:t>—</w:t>
            </w:r>
            <w:r>
              <w:t>小笠原</w:t>
            </w:r>
            <w:r>
              <w:t>—</w:t>
            </w:r>
            <w:r>
              <w:t>马里亚纳地区，菲律宾海板块之下可能不存在残留的古俯冲板片，因为已有研究提出该俯冲带起始于转换断层</w:t>
            </w:r>
            <w:r>
              <w:t xml:space="preserve">” </w:t>
            </w:r>
            <w:r>
              <w:t>（附件</w:t>
            </w:r>
            <w:r>
              <w:t>32</w:t>
            </w:r>
            <w:r>
              <w:t>）。</w:t>
            </w:r>
            <w:r>
              <w:t xml:space="preserve"> </w:t>
            </w:r>
          </w:p>
          <w:p w14:paraId="492C8BD6" w14:textId="77777777" w:rsidR="00015B3C" w:rsidRDefault="00015B3C" w:rsidP="00AA38FB">
            <w:pPr>
              <w:pStyle w:val="sonormal"/>
              <w:rPr>
                <w:b/>
                <w:bCs/>
              </w:rPr>
            </w:pPr>
            <w:r>
              <w:rPr>
                <w:b/>
                <w:bCs/>
              </w:rPr>
              <w:t>      </w:t>
            </w:r>
            <w:r>
              <w:t>（</w:t>
            </w:r>
            <w:r>
              <w:t>2</w:t>
            </w:r>
            <w:r>
              <w:t>）冷伟教授等关于俯冲极性反转的研究成果被</w:t>
            </w:r>
            <w:r>
              <w:t>PNAS</w:t>
            </w:r>
            <w:r>
              <w:t>、</w:t>
            </w:r>
            <w:r>
              <w:t>EPSL</w:t>
            </w:r>
            <w:r>
              <w:t>、</w:t>
            </w:r>
            <w:r>
              <w:t>Earth Sci. Rev.</w:t>
            </w:r>
            <w:r>
              <w:t>和</w:t>
            </w:r>
            <w:proofErr w:type="spellStart"/>
            <w:r>
              <w:t>Geophys</w:t>
            </w:r>
            <w:proofErr w:type="spellEnd"/>
            <w:r>
              <w:t>. Res. Lett.</w:t>
            </w:r>
            <w:r>
              <w:t>等期刊广泛引用（附件</w:t>
            </w:r>
            <w:r>
              <w:t>13</w:t>
            </w:r>
            <w:r>
              <w:t>，</w:t>
            </w:r>
            <w:r>
              <w:t>21</w:t>
            </w:r>
            <w:r>
              <w:t>，</w:t>
            </w:r>
            <w:r>
              <w:t>37-38</w:t>
            </w:r>
            <w:r>
              <w:t>）。</w:t>
            </w:r>
            <w:proofErr w:type="spellStart"/>
            <w:r>
              <w:t>Maierová</w:t>
            </w:r>
            <w:proofErr w:type="spellEnd"/>
            <w:r>
              <w:t>博士等在</w:t>
            </w:r>
            <w:r>
              <w:t>EPSL</w:t>
            </w:r>
            <w:r>
              <w:t>论文中指出</w:t>
            </w:r>
            <w:proofErr w:type="gramStart"/>
            <w:r>
              <w:t>：</w:t>
            </w:r>
            <w:r>
              <w:t>“</w:t>
            </w:r>
            <w:proofErr w:type="gramEnd"/>
            <w:r>
              <w:t>强度极低的岛弧无法被拖曳进入地幔，而是增生到大陆边缘，并在其底部形成新的反向俯冲带</w:t>
            </w:r>
            <w:r>
              <w:t>”</w:t>
            </w:r>
            <w:r>
              <w:t>，支持岛弧强度控制俯冲极性反转的认识（附件</w:t>
            </w:r>
            <w:r>
              <w:t xml:space="preserve"> 21</w:t>
            </w:r>
            <w:r>
              <w:t>）。杨高学教授等指出：</w:t>
            </w:r>
            <w:r>
              <w:t>“Zhang</w:t>
            </w:r>
            <w:r>
              <w:t>和</w:t>
            </w:r>
            <w:proofErr w:type="spellStart"/>
            <w:r>
              <w:t>Leng</w:t>
            </w:r>
            <w:proofErr w:type="spellEnd"/>
            <w:r>
              <w:t>建立了研究俯冲极性反转的数值模型，并识别出自发型和诱发型两种极性反转模式</w:t>
            </w:r>
            <w:r>
              <w:t>”</w:t>
            </w:r>
            <w:r>
              <w:t>，认为</w:t>
            </w:r>
            <w:r>
              <w:t>“</w:t>
            </w:r>
            <w:r>
              <w:t>弱化结构能够显著降低新俯冲启动所需的驱动力</w:t>
            </w:r>
            <w:r>
              <w:t>”</w:t>
            </w:r>
            <w:r>
              <w:t>，表明两类极性反转模式已用于讨论新俯冲带启动条件（附件</w:t>
            </w:r>
            <w:r>
              <w:t>37</w:t>
            </w:r>
            <w:r>
              <w:t>）。</w:t>
            </w:r>
            <w:proofErr w:type="spellStart"/>
            <w:r>
              <w:t>Schellart</w:t>
            </w:r>
            <w:proofErr w:type="spellEnd"/>
            <w:r>
              <w:t>教授等进一步指出：</w:t>
            </w:r>
            <w:r>
              <w:t>“</w:t>
            </w:r>
            <w:r>
              <w:t>俯冲极性反转是由高浮力岩石圈单元进入俯冲带所触发，其结果是在原有俯冲带终止的同时形成一个倾向相反的新俯冲带</w:t>
            </w:r>
            <w:r>
              <w:t>”</w:t>
            </w:r>
            <w:r>
              <w:t>，印证了旧俯冲带消亡与新俯冲带形成之间的动力联系（附件</w:t>
            </w:r>
            <w:r>
              <w:t>38</w:t>
            </w:r>
            <w:r>
              <w:t>）。</w:t>
            </w:r>
            <w:r>
              <w:rPr>
                <w:b/>
                <w:bCs/>
              </w:rPr>
              <w:t xml:space="preserve"> </w:t>
            </w:r>
          </w:p>
          <w:p w14:paraId="4CFD70F3" w14:textId="77777777" w:rsidR="00015B3C" w:rsidRDefault="00015B3C" w:rsidP="00AA38FB">
            <w:pPr>
              <w:widowControl/>
              <w:jc w:val="left"/>
              <w:rPr>
                <w:rFonts w:ascii="等线" w:eastAsia="等线" w:hAnsi="等线"/>
                <w:sz w:val="22"/>
                <w:szCs w:val="22"/>
              </w:rPr>
            </w:pPr>
          </w:p>
        </w:tc>
      </w:tr>
    </w:tbl>
    <w:p w14:paraId="2774F113" w14:textId="43EF4688" w:rsidR="00015B3C" w:rsidRPr="00015B3C" w:rsidRDefault="00015B3C" w:rsidP="00015B3C">
      <w:pPr>
        <w:pStyle w:val="a3"/>
        <w:spacing w:before="60" w:after="100"/>
        <w:rPr>
          <w:rFonts w:ascii="黑体" w:eastAsia="黑体" w:hAnsi="黑体" w:cs="Times New Roman"/>
          <w:b/>
          <w:spacing w:val="0"/>
          <w:kern w:val="2"/>
          <w:sz w:val="32"/>
          <w:szCs w:val="32"/>
        </w:rPr>
      </w:pPr>
      <w:r>
        <w:rPr>
          <w:rFonts w:ascii="宋体" w:hAnsi="宋体" w:cs="宋体" w:hint="eastAsia"/>
        </w:rPr>
        <w:lastRenderedPageBreak/>
        <w:br w:type="page"/>
      </w:r>
      <w:bookmarkStart w:id="3" w:name="xx_socibenefit"/>
      <w:bookmarkStart w:id="4" w:name="xx_calcbase"/>
      <w:bookmarkEnd w:id="3"/>
      <w:bookmarkEnd w:id="4"/>
      <w:r w:rsidRPr="00015B3C">
        <w:rPr>
          <w:rFonts w:ascii="黑体" w:eastAsia="黑体" w:hAnsi="黑体" w:cs="Times New Roman" w:hint="eastAsia"/>
          <w:b/>
          <w:spacing w:val="0"/>
          <w:kern w:val="2"/>
          <w:sz w:val="32"/>
          <w:szCs w:val="32"/>
        </w:rPr>
        <w:lastRenderedPageBreak/>
        <w:t>五、代表性论文专著目录</w:t>
      </w:r>
    </w:p>
    <w:p w14:paraId="4C51333A" w14:textId="1659AFF3" w:rsidR="00015B3C" w:rsidRDefault="00015B3C" w:rsidP="00015B3C">
      <w:pPr>
        <w:snapToGrid w:val="0"/>
        <w:spacing w:line="360" w:lineRule="auto"/>
        <w:rPr>
          <w:rFonts w:ascii="黑体" w:eastAsia="黑体" w:hAnsi="黑体" w:cs="宋体"/>
          <w:spacing w:val="-10"/>
          <w:sz w:val="24"/>
        </w:rPr>
      </w:pPr>
      <w:r>
        <w:rPr>
          <w:rFonts w:ascii="黑体" w:eastAsia="黑体" w:hAnsi="黑体" w:cs="宋体"/>
          <w:spacing w:val="-10"/>
          <w:sz w:val="24"/>
        </w:rPr>
        <w:t xml:space="preserve"> </w:t>
      </w:r>
    </w:p>
    <w:tbl>
      <w:tblPr>
        <w:tblStyle w:val="13"/>
        <w:tblW w:w="9500" w:type="dxa"/>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2"/>
        <w:gridCol w:w="1720"/>
        <w:gridCol w:w="1401"/>
        <w:gridCol w:w="1188"/>
        <w:gridCol w:w="1614"/>
        <w:gridCol w:w="698"/>
        <w:gridCol w:w="698"/>
        <w:gridCol w:w="828"/>
        <w:gridCol w:w="741"/>
      </w:tblGrid>
      <w:tr w:rsidR="00015B3C" w14:paraId="34F0BABC" w14:textId="77777777" w:rsidTr="00AA38FB">
        <w:trPr>
          <w:trHeight w:val="2072"/>
          <w:jc w:val="center"/>
        </w:trPr>
        <w:tc>
          <w:tcPr>
            <w:tcW w:w="574" w:type="dxa"/>
            <w:tcBorders>
              <w:top w:val="single" w:sz="4" w:space="0" w:color="auto"/>
              <w:left w:val="single" w:sz="4" w:space="0" w:color="auto"/>
              <w:bottom w:val="single" w:sz="4" w:space="0" w:color="auto"/>
              <w:right w:val="single" w:sz="4" w:space="0" w:color="auto"/>
            </w:tcBorders>
            <w:vAlign w:val="center"/>
            <w:hideMark/>
          </w:tcPr>
          <w:p w14:paraId="6227234A" w14:textId="77777777" w:rsidR="00015B3C" w:rsidRDefault="00015B3C" w:rsidP="00AA38FB">
            <w:pPr>
              <w:snapToGrid w:val="0"/>
              <w:jc w:val="center"/>
              <w:rPr>
                <w:rFonts w:ascii="宋体" w:hAnsi="宋体"/>
                <w:b/>
                <w:szCs w:val="21"/>
              </w:rPr>
            </w:pPr>
            <w:r>
              <w:rPr>
                <w:rFonts w:ascii="宋体" w:hAnsi="宋体" w:hint="eastAsia"/>
                <w:b/>
                <w:szCs w:val="21"/>
              </w:rPr>
              <w:t>序号</w:t>
            </w:r>
          </w:p>
        </w:tc>
        <w:tc>
          <w:tcPr>
            <w:tcW w:w="737" w:type="dxa"/>
            <w:tcBorders>
              <w:top w:val="single" w:sz="4" w:space="0" w:color="auto"/>
              <w:left w:val="single" w:sz="4" w:space="0" w:color="auto"/>
              <w:bottom w:val="single" w:sz="4" w:space="0" w:color="auto"/>
              <w:right w:val="single" w:sz="4" w:space="0" w:color="auto"/>
            </w:tcBorders>
            <w:vAlign w:val="center"/>
            <w:hideMark/>
          </w:tcPr>
          <w:p w14:paraId="1281CB51" w14:textId="77777777" w:rsidR="00015B3C" w:rsidRDefault="00015B3C" w:rsidP="00AA38FB">
            <w:pPr>
              <w:snapToGrid w:val="0"/>
              <w:jc w:val="center"/>
              <w:rPr>
                <w:rFonts w:ascii="宋体" w:hAnsi="宋体"/>
                <w:b/>
                <w:szCs w:val="21"/>
              </w:rPr>
            </w:pPr>
            <w:r>
              <w:rPr>
                <w:rFonts w:ascii="宋体" w:hAnsi="宋体" w:hint="eastAsia"/>
                <w:b/>
                <w:szCs w:val="21"/>
              </w:rPr>
              <w:t>论文专著名称</w:t>
            </w:r>
          </w:p>
        </w:tc>
        <w:tc>
          <w:tcPr>
            <w:tcW w:w="778" w:type="dxa"/>
            <w:tcBorders>
              <w:top w:val="single" w:sz="4" w:space="0" w:color="auto"/>
              <w:left w:val="single" w:sz="4" w:space="0" w:color="auto"/>
              <w:bottom w:val="single" w:sz="4" w:space="0" w:color="auto"/>
              <w:right w:val="single" w:sz="4" w:space="0" w:color="auto"/>
            </w:tcBorders>
            <w:vAlign w:val="center"/>
            <w:hideMark/>
          </w:tcPr>
          <w:p w14:paraId="18619874" w14:textId="77777777" w:rsidR="00015B3C" w:rsidRDefault="00015B3C" w:rsidP="00AA38FB">
            <w:pPr>
              <w:snapToGrid w:val="0"/>
              <w:jc w:val="center"/>
              <w:rPr>
                <w:rFonts w:ascii="宋体" w:hAnsi="宋体"/>
                <w:b/>
                <w:szCs w:val="21"/>
              </w:rPr>
            </w:pPr>
            <w:r>
              <w:rPr>
                <w:rFonts w:ascii="宋体" w:hAnsi="宋体" w:hint="eastAsia"/>
                <w:b/>
                <w:szCs w:val="21"/>
              </w:rPr>
              <w:t>刊名</w:t>
            </w:r>
          </w:p>
        </w:tc>
        <w:tc>
          <w:tcPr>
            <w:tcW w:w="696" w:type="dxa"/>
            <w:tcBorders>
              <w:top w:val="single" w:sz="4" w:space="0" w:color="auto"/>
              <w:left w:val="single" w:sz="4" w:space="0" w:color="auto"/>
              <w:bottom w:val="single" w:sz="4" w:space="0" w:color="auto"/>
              <w:right w:val="single" w:sz="4" w:space="0" w:color="auto"/>
            </w:tcBorders>
            <w:vAlign w:val="center"/>
            <w:hideMark/>
          </w:tcPr>
          <w:p w14:paraId="73224C31" w14:textId="77777777" w:rsidR="00015B3C" w:rsidRDefault="00015B3C" w:rsidP="00AA38FB">
            <w:pPr>
              <w:snapToGrid w:val="0"/>
              <w:jc w:val="center"/>
              <w:rPr>
                <w:rFonts w:ascii="宋体" w:hAnsi="宋体"/>
                <w:b/>
                <w:szCs w:val="21"/>
              </w:rPr>
            </w:pPr>
            <w:r>
              <w:rPr>
                <w:rFonts w:ascii="宋体" w:hAnsi="宋体" w:hint="eastAsia"/>
                <w:b/>
                <w:szCs w:val="21"/>
              </w:rPr>
              <w:t>作者</w:t>
            </w:r>
          </w:p>
        </w:tc>
        <w:tc>
          <w:tcPr>
            <w:tcW w:w="656" w:type="dxa"/>
            <w:tcBorders>
              <w:top w:val="single" w:sz="4" w:space="0" w:color="auto"/>
              <w:left w:val="single" w:sz="4" w:space="0" w:color="auto"/>
              <w:bottom w:val="single" w:sz="4" w:space="0" w:color="auto"/>
              <w:right w:val="single" w:sz="4" w:space="0" w:color="auto"/>
            </w:tcBorders>
            <w:vAlign w:val="center"/>
            <w:hideMark/>
          </w:tcPr>
          <w:p w14:paraId="05D1DA88" w14:textId="77777777" w:rsidR="00015B3C" w:rsidRDefault="00015B3C" w:rsidP="00AA38FB">
            <w:pPr>
              <w:snapToGrid w:val="0"/>
              <w:jc w:val="center"/>
              <w:rPr>
                <w:rFonts w:ascii="宋体" w:hAnsi="宋体"/>
                <w:b/>
                <w:szCs w:val="21"/>
              </w:rPr>
            </w:pPr>
            <w:r>
              <w:rPr>
                <w:rFonts w:ascii="宋体" w:hAnsi="宋体" w:hint="eastAsia"/>
                <w:b/>
                <w:szCs w:val="21"/>
              </w:rPr>
              <w:t>年卷页码(xx年xx卷xx页)</w:t>
            </w:r>
          </w:p>
        </w:tc>
        <w:tc>
          <w:tcPr>
            <w:tcW w:w="656" w:type="dxa"/>
            <w:tcBorders>
              <w:top w:val="single" w:sz="4" w:space="0" w:color="auto"/>
              <w:left w:val="single" w:sz="4" w:space="0" w:color="auto"/>
              <w:bottom w:val="single" w:sz="4" w:space="0" w:color="auto"/>
              <w:right w:val="single" w:sz="4" w:space="0" w:color="auto"/>
            </w:tcBorders>
            <w:vAlign w:val="center"/>
            <w:hideMark/>
          </w:tcPr>
          <w:p w14:paraId="5EB94814" w14:textId="77777777" w:rsidR="00015B3C" w:rsidRDefault="00015B3C" w:rsidP="00AA38FB">
            <w:pPr>
              <w:snapToGrid w:val="0"/>
              <w:jc w:val="center"/>
              <w:rPr>
                <w:rFonts w:ascii="宋体" w:hAnsi="宋体"/>
                <w:b/>
                <w:szCs w:val="21"/>
              </w:rPr>
            </w:pPr>
            <w:r>
              <w:rPr>
                <w:rFonts w:ascii="宋体" w:hAnsi="宋体" w:hint="eastAsia"/>
                <w:b/>
                <w:szCs w:val="21"/>
              </w:rPr>
              <w:t>发表时间</w:t>
            </w:r>
          </w:p>
          <w:p w14:paraId="050F1BB5" w14:textId="77777777" w:rsidR="00015B3C" w:rsidRDefault="00015B3C" w:rsidP="00AA38FB">
            <w:pPr>
              <w:snapToGrid w:val="0"/>
              <w:jc w:val="center"/>
              <w:rPr>
                <w:rFonts w:ascii="宋体" w:hAnsi="宋体"/>
                <w:b/>
                <w:szCs w:val="21"/>
              </w:rPr>
            </w:pPr>
            <w:r>
              <w:rPr>
                <w:rFonts w:ascii="宋体" w:hAnsi="宋体" w:hint="eastAsia"/>
                <w:b/>
                <w:szCs w:val="21"/>
              </w:rPr>
              <w:t>年 月 日</w:t>
            </w:r>
          </w:p>
        </w:tc>
        <w:tc>
          <w:tcPr>
            <w:tcW w:w="656" w:type="dxa"/>
            <w:tcBorders>
              <w:top w:val="single" w:sz="4" w:space="0" w:color="auto"/>
              <w:left w:val="single" w:sz="4" w:space="0" w:color="auto"/>
              <w:bottom w:val="single" w:sz="4" w:space="0" w:color="auto"/>
              <w:right w:val="single" w:sz="4" w:space="0" w:color="auto"/>
            </w:tcBorders>
            <w:vAlign w:val="center"/>
            <w:hideMark/>
          </w:tcPr>
          <w:p w14:paraId="2FA6AC92" w14:textId="77777777" w:rsidR="00015B3C" w:rsidRDefault="00015B3C" w:rsidP="00AA38FB">
            <w:pPr>
              <w:snapToGrid w:val="0"/>
              <w:jc w:val="center"/>
              <w:rPr>
                <w:rFonts w:ascii="宋体" w:hAnsi="宋体"/>
                <w:b/>
                <w:szCs w:val="21"/>
              </w:rPr>
            </w:pPr>
            <w:r>
              <w:rPr>
                <w:rFonts w:ascii="宋体" w:hAnsi="宋体" w:hint="eastAsia"/>
                <w:b/>
                <w:szCs w:val="21"/>
              </w:rPr>
              <w:t>通讯作者/第一作者是否为本成果主要完成人</w:t>
            </w:r>
          </w:p>
        </w:tc>
        <w:tc>
          <w:tcPr>
            <w:tcW w:w="778" w:type="dxa"/>
            <w:tcBorders>
              <w:top w:val="single" w:sz="4" w:space="0" w:color="auto"/>
              <w:left w:val="single" w:sz="4" w:space="0" w:color="auto"/>
              <w:bottom w:val="single" w:sz="4" w:space="0" w:color="auto"/>
              <w:right w:val="single" w:sz="4" w:space="0" w:color="auto"/>
            </w:tcBorders>
            <w:vAlign w:val="center"/>
            <w:hideMark/>
          </w:tcPr>
          <w:p w14:paraId="28373143" w14:textId="77777777" w:rsidR="00015B3C" w:rsidRDefault="00015B3C" w:rsidP="00AA38FB">
            <w:pPr>
              <w:snapToGrid w:val="0"/>
              <w:jc w:val="center"/>
              <w:rPr>
                <w:rFonts w:ascii="宋体" w:hAnsi="宋体"/>
                <w:b/>
                <w:szCs w:val="21"/>
              </w:rPr>
            </w:pPr>
            <w:r>
              <w:rPr>
                <w:rFonts w:ascii="宋体" w:hAnsi="宋体" w:hint="eastAsia"/>
                <w:b/>
                <w:szCs w:val="21"/>
              </w:rPr>
              <w:t>SCI 他引次数</w:t>
            </w:r>
          </w:p>
        </w:tc>
        <w:tc>
          <w:tcPr>
            <w:tcW w:w="696" w:type="dxa"/>
            <w:tcBorders>
              <w:top w:val="single" w:sz="4" w:space="0" w:color="auto"/>
              <w:left w:val="single" w:sz="4" w:space="0" w:color="auto"/>
              <w:bottom w:val="single" w:sz="4" w:space="0" w:color="auto"/>
              <w:right w:val="single" w:sz="4" w:space="0" w:color="auto"/>
            </w:tcBorders>
            <w:vAlign w:val="center"/>
            <w:hideMark/>
          </w:tcPr>
          <w:p w14:paraId="6869911B" w14:textId="77777777" w:rsidR="00015B3C" w:rsidRDefault="00015B3C" w:rsidP="00AA38FB">
            <w:pPr>
              <w:snapToGrid w:val="0"/>
              <w:jc w:val="center"/>
              <w:rPr>
                <w:rFonts w:ascii="宋体" w:hAnsi="宋体"/>
                <w:b/>
                <w:szCs w:val="21"/>
              </w:rPr>
            </w:pPr>
            <w:proofErr w:type="gramStart"/>
            <w:r>
              <w:rPr>
                <w:rFonts w:ascii="宋体" w:hAnsi="宋体" w:hint="eastAsia"/>
                <w:b/>
                <w:szCs w:val="21"/>
              </w:rPr>
              <w:t>他引总次数</w:t>
            </w:r>
            <w:proofErr w:type="gramEnd"/>
          </w:p>
        </w:tc>
      </w:tr>
      <w:tr w:rsidR="00015B3C" w14:paraId="05A86F1A" w14:textId="77777777" w:rsidTr="00AA38FB">
        <w:trPr>
          <w:trHeight w:val="569"/>
          <w:jc w:val="center"/>
        </w:trPr>
        <w:tc>
          <w:tcPr>
            <w:tcW w:w="574" w:type="dxa"/>
            <w:tcBorders>
              <w:top w:val="single" w:sz="4" w:space="0" w:color="auto"/>
              <w:left w:val="single" w:sz="4" w:space="0" w:color="auto"/>
              <w:bottom w:val="single" w:sz="4" w:space="0" w:color="auto"/>
              <w:right w:val="single" w:sz="4" w:space="0" w:color="auto"/>
            </w:tcBorders>
            <w:vAlign w:val="center"/>
            <w:hideMark/>
          </w:tcPr>
          <w:p w14:paraId="123896CA" w14:textId="77777777" w:rsidR="00015B3C" w:rsidRDefault="00015B3C" w:rsidP="00AA38FB">
            <w:pPr>
              <w:jc w:val="center"/>
              <w:rPr>
                <w:rFonts w:ascii="宋体" w:hAnsi="宋体"/>
                <w:szCs w:val="21"/>
              </w:rPr>
            </w:pPr>
            <w:r>
              <w:rPr>
                <w:rFonts w:ascii="宋体" w:hAnsi="宋体" w:hint="eastAsia"/>
                <w:szCs w:val="21"/>
              </w:rPr>
              <w:t>1</w:t>
            </w:r>
          </w:p>
        </w:tc>
        <w:tc>
          <w:tcPr>
            <w:tcW w:w="737" w:type="dxa"/>
            <w:tcBorders>
              <w:top w:val="single" w:sz="4" w:space="0" w:color="auto"/>
              <w:left w:val="single" w:sz="4" w:space="0" w:color="auto"/>
              <w:bottom w:val="single" w:sz="4" w:space="0" w:color="auto"/>
              <w:right w:val="single" w:sz="4" w:space="0" w:color="auto"/>
            </w:tcBorders>
            <w:vAlign w:val="center"/>
            <w:hideMark/>
          </w:tcPr>
          <w:p w14:paraId="1FFD8AB8" w14:textId="77777777" w:rsidR="00015B3C" w:rsidRDefault="00015B3C" w:rsidP="00AA38FB">
            <w:pPr>
              <w:jc w:val="center"/>
              <w:rPr>
                <w:rFonts w:ascii="宋体" w:hAnsi="宋体"/>
                <w:szCs w:val="21"/>
              </w:rPr>
            </w:pPr>
            <w:r>
              <w:rPr>
                <w:rFonts w:ascii="宋体" w:hAnsi="宋体" w:hint="eastAsia"/>
                <w:szCs w:val="21"/>
              </w:rPr>
              <w:t>Reconstruction of northeast Asian deformation integrated with western Pacific plate subduction since 200 Ma</w:t>
            </w:r>
          </w:p>
        </w:tc>
        <w:tc>
          <w:tcPr>
            <w:tcW w:w="778" w:type="dxa"/>
            <w:tcBorders>
              <w:top w:val="single" w:sz="4" w:space="0" w:color="auto"/>
              <w:left w:val="single" w:sz="4" w:space="0" w:color="auto"/>
              <w:bottom w:val="single" w:sz="4" w:space="0" w:color="auto"/>
              <w:right w:val="single" w:sz="4" w:space="0" w:color="auto"/>
            </w:tcBorders>
            <w:vAlign w:val="center"/>
            <w:hideMark/>
          </w:tcPr>
          <w:p w14:paraId="5CBF6552" w14:textId="77777777" w:rsidR="00015B3C" w:rsidRDefault="00015B3C" w:rsidP="00AA38FB">
            <w:pPr>
              <w:jc w:val="center"/>
              <w:rPr>
                <w:rFonts w:ascii="宋体" w:hAnsi="宋体"/>
                <w:szCs w:val="21"/>
              </w:rPr>
            </w:pPr>
            <w:r>
              <w:rPr>
                <w:rFonts w:ascii="宋体" w:hAnsi="宋体" w:hint="eastAsia"/>
                <w:szCs w:val="21"/>
              </w:rPr>
              <w:t>Earth-Science Reviews</w:t>
            </w:r>
          </w:p>
        </w:tc>
        <w:tc>
          <w:tcPr>
            <w:tcW w:w="696" w:type="dxa"/>
            <w:tcBorders>
              <w:top w:val="single" w:sz="4" w:space="0" w:color="auto"/>
              <w:left w:val="single" w:sz="4" w:space="0" w:color="auto"/>
              <w:bottom w:val="single" w:sz="4" w:space="0" w:color="auto"/>
              <w:right w:val="single" w:sz="4" w:space="0" w:color="auto"/>
            </w:tcBorders>
            <w:vAlign w:val="center"/>
            <w:hideMark/>
          </w:tcPr>
          <w:p w14:paraId="359EE8A3" w14:textId="77777777" w:rsidR="00015B3C" w:rsidRDefault="00015B3C" w:rsidP="00AA38FB">
            <w:pPr>
              <w:jc w:val="center"/>
              <w:rPr>
                <w:rFonts w:ascii="宋体" w:hAnsi="宋体"/>
                <w:szCs w:val="21"/>
              </w:rPr>
            </w:pPr>
            <w:proofErr w:type="spellStart"/>
            <w:r>
              <w:rPr>
                <w:rFonts w:ascii="宋体" w:hAnsi="宋体" w:hint="eastAsia"/>
                <w:szCs w:val="21"/>
              </w:rPr>
              <w:t>Shaofeng</w:t>
            </w:r>
            <w:proofErr w:type="spellEnd"/>
            <w:r>
              <w:rPr>
                <w:rFonts w:ascii="宋体" w:hAnsi="宋体" w:hint="eastAsia"/>
                <w:szCs w:val="21"/>
              </w:rPr>
              <w:t xml:space="preserve"> Liu; Michael </w:t>
            </w:r>
            <w:proofErr w:type="spellStart"/>
            <w:r>
              <w:rPr>
                <w:rFonts w:ascii="宋体" w:hAnsi="宋体" w:hint="eastAsia"/>
                <w:szCs w:val="21"/>
              </w:rPr>
              <w:t>Gurnis</w:t>
            </w:r>
            <w:proofErr w:type="spellEnd"/>
            <w:r>
              <w:rPr>
                <w:rFonts w:ascii="宋体" w:hAnsi="宋体" w:hint="eastAsia"/>
                <w:szCs w:val="21"/>
              </w:rPr>
              <w:t xml:space="preserve">; </w:t>
            </w:r>
            <w:proofErr w:type="spellStart"/>
            <w:r>
              <w:rPr>
                <w:rFonts w:ascii="宋体" w:hAnsi="宋体" w:hint="eastAsia"/>
                <w:szCs w:val="21"/>
              </w:rPr>
              <w:t>Pengfei</w:t>
            </w:r>
            <w:proofErr w:type="spellEnd"/>
            <w:r>
              <w:rPr>
                <w:rFonts w:ascii="宋体" w:hAnsi="宋体" w:hint="eastAsia"/>
                <w:szCs w:val="21"/>
              </w:rPr>
              <w:t xml:space="preserve"> Ma; Bo Zhang</w:t>
            </w:r>
          </w:p>
        </w:tc>
        <w:tc>
          <w:tcPr>
            <w:tcW w:w="656" w:type="dxa"/>
            <w:tcBorders>
              <w:top w:val="single" w:sz="4" w:space="0" w:color="auto"/>
              <w:left w:val="single" w:sz="4" w:space="0" w:color="auto"/>
              <w:bottom w:val="single" w:sz="4" w:space="0" w:color="auto"/>
              <w:right w:val="single" w:sz="4" w:space="0" w:color="auto"/>
            </w:tcBorders>
            <w:vAlign w:val="center"/>
            <w:hideMark/>
          </w:tcPr>
          <w:p w14:paraId="2C4F73A2" w14:textId="77777777" w:rsidR="00015B3C" w:rsidRDefault="00015B3C" w:rsidP="00AA38FB">
            <w:pPr>
              <w:jc w:val="center"/>
              <w:rPr>
                <w:rFonts w:ascii="宋体" w:hAnsi="宋体"/>
                <w:szCs w:val="21"/>
              </w:rPr>
            </w:pPr>
            <w:r>
              <w:rPr>
                <w:rFonts w:ascii="宋体" w:hAnsi="宋体" w:hint="eastAsia"/>
                <w:szCs w:val="21"/>
              </w:rPr>
              <w:t>2017年175卷114–142页</w:t>
            </w:r>
          </w:p>
        </w:tc>
        <w:tc>
          <w:tcPr>
            <w:tcW w:w="656" w:type="dxa"/>
            <w:tcBorders>
              <w:top w:val="single" w:sz="4" w:space="0" w:color="auto"/>
              <w:left w:val="single" w:sz="4" w:space="0" w:color="auto"/>
              <w:bottom w:val="single" w:sz="4" w:space="0" w:color="auto"/>
              <w:right w:val="single" w:sz="4" w:space="0" w:color="auto"/>
            </w:tcBorders>
            <w:vAlign w:val="center"/>
            <w:hideMark/>
          </w:tcPr>
          <w:p w14:paraId="7F13CD16" w14:textId="77777777" w:rsidR="00015B3C" w:rsidRDefault="00015B3C" w:rsidP="00AA38FB">
            <w:pPr>
              <w:jc w:val="center"/>
              <w:rPr>
                <w:rFonts w:ascii="宋体" w:hAnsi="宋体"/>
                <w:szCs w:val="21"/>
              </w:rPr>
            </w:pPr>
            <w:r>
              <w:rPr>
                <w:rFonts w:ascii="宋体" w:hAnsi="宋体" w:hint="eastAsia"/>
                <w:szCs w:val="21"/>
              </w:rPr>
              <w:t>2017</w:t>
            </w:r>
            <w:r>
              <w:rPr>
                <w:rFonts w:ascii="宋体" w:hAnsi="宋体" w:hint="eastAsia"/>
                <w:szCs w:val="21"/>
              </w:rPr>
              <w:br/>
              <w:t>-10</w:t>
            </w:r>
            <w:r>
              <w:rPr>
                <w:rFonts w:ascii="宋体" w:hAnsi="宋体" w:hint="eastAsia"/>
                <w:szCs w:val="21"/>
              </w:rPr>
              <w:br/>
              <w:t>-27</w:t>
            </w:r>
          </w:p>
        </w:tc>
        <w:tc>
          <w:tcPr>
            <w:tcW w:w="656" w:type="dxa"/>
            <w:tcBorders>
              <w:top w:val="single" w:sz="4" w:space="0" w:color="auto"/>
              <w:left w:val="single" w:sz="4" w:space="0" w:color="auto"/>
              <w:bottom w:val="single" w:sz="4" w:space="0" w:color="auto"/>
              <w:right w:val="single" w:sz="4" w:space="0" w:color="auto"/>
            </w:tcBorders>
            <w:vAlign w:val="center"/>
            <w:hideMark/>
          </w:tcPr>
          <w:p w14:paraId="35AFD0E2" w14:textId="77777777" w:rsidR="00015B3C" w:rsidRDefault="00015B3C" w:rsidP="00AA38FB">
            <w:pPr>
              <w:jc w:val="center"/>
              <w:rPr>
                <w:rFonts w:ascii="宋体" w:hAnsi="宋体"/>
                <w:szCs w:val="21"/>
              </w:rPr>
            </w:pPr>
            <w:r>
              <w:rPr>
                <w:rFonts w:ascii="宋体" w:hAnsi="宋体" w:hint="eastAsia"/>
                <w:szCs w:val="21"/>
              </w:rPr>
              <w:t>是</w:t>
            </w:r>
          </w:p>
        </w:tc>
        <w:tc>
          <w:tcPr>
            <w:tcW w:w="778" w:type="dxa"/>
            <w:tcBorders>
              <w:top w:val="single" w:sz="4" w:space="0" w:color="auto"/>
              <w:left w:val="single" w:sz="4" w:space="0" w:color="auto"/>
              <w:bottom w:val="single" w:sz="4" w:space="0" w:color="auto"/>
              <w:right w:val="single" w:sz="4" w:space="0" w:color="auto"/>
            </w:tcBorders>
            <w:vAlign w:val="center"/>
            <w:hideMark/>
          </w:tcPr>
          <w:p w14:paraId="34ED4CBD" w14:textId="77777777" w:rsidR="00015B3C" w:rsidRDefault="00015B3C" w:rsidP="00AA38FB">
            <w:pPr>
              <w:jc w:val="center"/>
              <w:rPr>
                <w:rFonts w:ascii="宋体" w:hAnsi="宋体"/>
                <w:szCs w:val="21"/>
              </w:rPr>
            </w:pPr>
            <w:r>
              <w:rPr>
                <w:rFonts w:ascii="宋体" w:hAnsi="宋体" w:hint="eastAsia"/>
                <w:szCs w:val="21"/>
              </w:rPr>
              <w:t>205</w:t>
            </w:r>
          </w:p>
        </w:tc>
        <w:tc>
          <w:tcPr>
            <w:tcW w:w="696" w:type="dxa"/>
            <w:tcBorders>
              <w:top w:val="single" w:sz="4" w:space="0" w:color="auto"/>
              <w:left w:val="single" w:sz="4" w:space="0" w:color="auto"/>
              <w:bottom w:val="single" w:sz="4" w:space="0" w:color="auto"/>
              <w:right w:val="single" w:sz="4" w:space="0" w:color="auto"/>
            </w:tcBorders>
            <w:vAlign w:val="center"/>
            <w:hideMark/>
          </w:tcPr>
          <w:p w14:paraId="0EA5B1F3" w14:textId="77777777" w:rsidR="00015B3C" w:rsidRDefault="00015B3C" w:rsidP="00AA38FB">
            <w:pPr>
              <w:jc w:val="center"/>
              <w:rPr>
                <w:rFonts w:ascii="宋体" w:hAnsi="宋体"/>
                <w:szCs w:val="21"/>
              </w:rPr>
            </w:pPr>
            <w:r>
              <w:rPr>
                <w:rFonts w:ascii="宋体" w:hAnsi="宋体" w:hint="eastAsia"/>
                <w:szCs w:val="21"/>
              </w:rPr>
              <w:t>319</w:t>
            </w:r>
          </w:p>
        </w:tc>
      </w:tr>
      <w:tr w:rsidR="00015B3C" w14:paraId="4746715A" w14:textId="77777777" w:rsidTr="00AA38FB">
        <w:trPr>
          <w:trHeight w:val="569"/>
          <w:jc w:val="center"/>
        </w:trPr>
        <w:tc>
          <w:tcPr>
            <w:tcW w:w="574" w:type="dxa"/>
            <w:tcBorders>
              <w:top w:val="single" w:sz="4" w:space="0" w:color="auto"/>
              <w:left w:val="single" w:sz="4" w:space="0" w:color="auto"/>
              <w:bottom w:val="single" w:sz="4" w:space="0" w:color="auto"/>
              <w:right w:val="single" w:sz="4" w:space="0" w:color="auto"/>
            </w:tcBorders>
            <w:vAlign w:val="center"/>
            <w:hideMark/>
          </w:tcPr>
          <w:p w14:paraId="29BAF849" w14:textId="77777777" w:rsidR="00015B3C" w:rsidRDefault="00015B3C" w:rsidP="00AA38FB">
            <w:pPr>
              <w:jc w:val="center"/>
              <w:rPr>
                <w:rFonts w:ascii="宋体" w:hAnsi="宋体"/>
                <w:szCs w:val="21"/>
              </w:rPr>
            </w:pPr>
            <w:r>
              <w:rPr>
                <w:rFonts w:ascii="宋体" w:hAnsi="宋体" w:hint="eastAsia"/>
                <w:szCs w:val="21"/>
              </w:rPr>
              <w:t>2</w:t>
            </w:r>
          </w:p>
        </w:tc>
        <w:tc>
          <w:tcPr>
            <w:tcW w:w="737" w:type="dxa"/>
            <w:tcBorders>
              <w:top w:val="single" w:sz="4" w:space="0" w:color="auto"/>
              <w:left w:val="single" w:sz="4" w:space="0" w:color="auto"/>
              <w:bottom w:val="single" w:sz="4" w:space="0" w:color="auto"/>
              <w:right w:val="single" w:sz="4" w:space="0" w:color="auto"/>
            </w:tcBorders>
            <w:vAlign w:val="center"/>
            <w:hideMark/>
          </w:tcPr>
          <w:p w14:paraId="04D3D912" w14:textId="77777777" w:rsidR="00015B3C" w:rsidRDefault="00015B3C" w:rsidP="00AA38FB">
            <w:pPr>
              <w:jc w:val="center"/>
              <w:rPr>
                <w:rFonts w:ascii="宋体" w:hAnsi="宋体"/>
                <w:szCs w:val="21"/>
              </w:rPr>
            </w:pPr>
            <w:r>
              <w:rPr>
                <w:rFonts w:ascii="宋体" w:hAnsi="宋体" w:hint="eastAsia"/>
                <w:szCs w:val="21"/>
              </w:rPr>
              <w:t>Subduction initiation at relic arcs</w:t>
            </w:r>
          </w:p>
        </w:tc>
        <w:tc>
          <w:tcPr>
            <w:tcW w:w="778" w:type="dxa"/>
            <w:tcBorders>
              <w:top w:val="single" w:sz="4" w:space="0" w:color="auto"/>
              <w:left w:val="single" w:sz="4" w:space="0" w:color="auto"/>
              <w:bottom w:val="single" w:sz="4" w:space="0" w:color="auto"/>
              <w:right w:val="single" w:sz="4" w:space="0" w:color="auto"/>
            </w:tcBorders>
            <w:vAlign w:val="center"/>
            <w:hideMark/>
          </w:tcPr>
          <w:p w14:paraId="4E3B4521" w14:textId="77777777" w:rsidR="00015B3C" w:rsidRDefault="00015B3C" w:rsidP="00AA38FB">
            <w:pPr>
              <w:jc w:val="center"/>
              <w:rPr>
                <w:rFonts w:ascii="宋体" w:hAnsi="宋体"/>
                <w:szCs w:val="21"/>
              </w:rPr>
            </w:pPr>
            <w:r>
              <w:rPr>
                <w:rFonts w:ascii="宋体" w:hAnsi="宋体" w:hint="eastAsia"/>
                <w:szCs w:val="21"/>
              </w:rPr>
              <w:t>Geophysical Research Letters</w:t>
            </w:r>
          </w:p>
        </w:tc>
        <w:tc>
          <w:tcPr>
            <w:tcW w:w="696" w:type="dxa"/>
            <w:tcBorders>
              <w:top w:val="single" w:sz="4" w:space="0" w:color="auto"/>
              <w:left w:val="single" w:sz="4" w:space="0" w:color="auto"/>
              <w:bottom w:val="single" w:sz="4" w:space="0" w:color="auto"/>
              <w:right w:val="single" w:sz="4" w:space="0" w:color="auto"/>
            </w:tcBorders>
            <w:vAlign w:val="center"/>
            <w:hideMark/>
          </w:tcPr>
          <w:p w14:paraId="52D7E8AA" w14:textId="77777777" w:rsidR="00015B3C" w:rsidRDefault="00015B3C" w:rsidP="00AA38FB">
            <w:pPr>
              <w:jc w:val="center"/>
              <w:rPr>
                <w:rFonts w:ascii="宋体" w:hAnsi="宋体"/>
                <w:szCs w:val="21"/>
              </w:rPr>
            </w:pPr>
            <w:r>
              <w:rPr>
                <w:rFonts w:ascii="宋体" w:hAnsi="宋体" w:hint="eastAsia"/>
                <w:szCs w:val="21"/>
              </w:rPr>
              <w:t xml:space="preserve">Wei </w:t>
            </w:r>
            <w:proofErr w:type="spellStart"/>
            <w:r>
              <w:rPr>
                <w:rFonts w:ascii="宋体" w:hAnsi="宋体" w:hint="eastAsia"/>
                <w:szCs w:val="21"/>
              </w:rPr>
              <w:t>Leng</w:t>
            </w:r>
            <w:proofErr w:type="spellEnd"/>
            <w:r>
              <w:rPr>
                <w:rFonts w:ascii="宋体" w:hAnsi="宋体" w:hint="eastAsia"/>
                <w:szCs w:val="21"/>
              </w:rPr>
              <w:t xml:space="preserve">; Michael </w:t>
            </w:r>
            <w:proofErr w:type="spellStart"/>
            <w:r>
              <w:rPr>
                <w:rFonts w:ascii="宋体" w:hAnsi="宋体" w:hint="eastAsia"/>
                <w:szCs w:val="21"/>
              </w:rPr>
              <w:t>Gurnis</w:t>
            </w:r>
            <w:proofErr w:type="spellEnd"/>
          </w:p>
        </w:tc>
        <w:tc>
          <w:tcPr>
            <w:tcW w:w="656" w:type="dxa"/>
            <w:tcBorders>
              <w:top w:val="single" w:sz="4" w:space="0" w:color="auto"/>
              <w:left w:val="single" w:sz="4" w:space="0" w:color="auto"/>
              <w:bottom w:val="single" w:sz="4" w:space="0" w:color="auto"/>
              <w:right w:val="single" w:sz="4" w:space="0" w:color="auto"/>
            </w:tcBorders>
            <w:vAlign w:val="center"/>
            <w:hideMark/>
          </w:tcPr>
          <w:p w14:paraId="4005AE41" w14:textId="77777777" w:rsidR="00015B3C" w:rsidRDefault="00015B3C" w:rsidP="00AA38FB">
            <w:pPr>
              <w:jc w:val="center"/>
              <w:rPr>
                <w:rFonts w:ascii="宋体" w:hAnsi="宋体"/>
                <w:szCs w:val="21"/>
              </w:rPr>
            </w:pPr>
            <w:r>
              <w:rPr>
                <w:rFonts w:ascii="宋体" w:hAnsi="宋体" w:hint="eastAsia"/>
                <w:szCs w:val="21"/>
              </w:rPr>
              <w:t>2015年42卷7014–7021页</w:t>
            </w:r>
          </w:p>
        </w:tc>
        <w:tc>
          <w:tcPr>
            <w:tcW w:w="656" w:type="dxa"/>
            <w:tcBorders>
              <w:top w:val="single" w:sz="4" w:space="0" w:color="auto"/>
              <w:left w:val="single" w:sz="4" w:space="0" w:color="auto"/>
              <w:bottom w:val="single" w:sz="4" w:space="0" w:color="auto"/>
              <w:right w:val="single" w:sz="4" w:space="0" w:color="auto"/>
            </w:tcBorders>
            <w:vAlign w:val="center"/>
            <w:hideMark/>
          </w:tcPr>
          <w:p w14:paraId="34FACE0D" w14:textId="77777777" w:rsidR="00015B3C" w:rsidRDefault="00015B3C" w:rsidP="00AA38FB">
            <w:pPr>
              <w:jc w:val="center"/>
              <w:rPr>
                <w:rFonts w:ascii="宋体" w:hAnsi="宋体"/>
                <w:szCs w:val="21"/>
              </w:rPr>
            </w:pPr>
            <w:r>
              <w:rPr>
                <w:rFonts w:ascii="宋体" w:hAnsi="宋体" w:hint="eastAsia"/>
                <w:szCs w:val="21"/>
              </w:rPr>
              <w:t>2015</w:t>
            </w:r>
            <w:r>
              <w:rPr>
                <w:rFonts w:ascii="宋体" w:hAnsi="宋体" w:hint="eastAsia"/>
                <w:szCs w:val="21"/>
              </w:rPr>
              <w:br/>
              <w:t>-09</w:t>
            </w:r>
            <w:r>
              <w:rPr>
                <w:rFonts w:ascii="宋体" w:hAnsi="宋体" w:hint="eastAsia"/>
                <w:szCs w:val="21"/>
              </w:rPr>
              <w:br/>
              <w:t>-05</w:t>
            </w:r>
          </w:p>
        </w:tc>
        <w:tc>
          <w:tcPr>
            <w:tcW w:w="656" w:type="dxa"/>
            <w:tcBorders>
              <w:top w:val="single" w:sz="4" w:space="0" w:color="auto"/>
              <w:left w:val="single" w:sz="4" w:space="0" w:color="auto"/>
              <w:bottom w:val="single" w:sz="4" w:space="0" w:color="auto"/>
              <w:right w:val="single" w:sz="4" w:space="0" w:color="auto"/>
            </w:tcBorders>
            <w:vAlign w:val="center"/>
            <w:hideMark/>
          </w:tcPr>
          <w:p w14:paraId="14BFABC8" w14:textId="77777777" w:rsidR="00015B3C" w:rsidRDefault="00015B3C" w:rsidP="00AA38FB">
            <w:pPr>
              <w:jc w:val="center"/>
              <w:rPr>
                <w:rFonts w:ascii="宋体" w:hAnsi="宋体"/>
                <w:szCs w:val="21"/>
              </w:rPr>
            </w:pPr>
            <w:r>
              <w:rPr>
                <w:rFonts w:ascii="宋体" w:hAnsi="宋体" w:hint="eastAsia"/>
                <w:szCs w:val="21"/>
              </w:rPr>
              <w:t>是</w:t>
            </w:r>
          </w:p>
        </w:tc>
        <w:tc>
          <w:tcPr>
            <w:tcW w:w="778" w:type="dxa"/>
            <w:tcBorders>
              <w:top w:val="single" w:sz="4" w:space="0" w:color="auto"/>
              <w:left w:val="single" w:sz="4" w:space="0" w:color="auto"/>
              <w:bottom w:val="single" w:sz="4" w:space="0" w:color="auto"/>
              <w:right w:val="single" w:sz="4" w:space="0" w:color="auto"/>
            </w:tcBorders>
            <w:vAlign w:val="center"/>
            <w:hideMark/>
          </w:tcPr>
          <w:p w14:paraId="182DD014" w14:textId="77777777" w:rsidR="00015B3C" w:rsidRDefault="00015B3C" w:rsidP="00AA38FB">
            <w:pPr>
              <w:jc w:val="center"/>
              <w:rPr>
                <w:rFonts w:ascii="宋体" w:hAnsi="宋体"/>
                <w:szCs w:val="21"/>
              </w:rPr>
            </w:pPr>
            <w:r>
              <w:rPr>
                <w:rFonts w:ascii="宋体" w:hAnsi="宋体" w:hint="eastAsia"/>
                <w:szCs w:val="21"/>
              </w:rPr>
              <w:t>83</w:t>
            </w:r>
          </w:p>
        </w:tc>
        <w:tc>
          <w:tcPr>
            <w:tcW w:w="696" w:type="dxa"/>
            <w:tcBorders>
              <w:top w:val="single" w:sz="4" w:space="0" w:color="auto"/>
              <w:left w:val="single" w:sz="4" w:space="0" w:color="auto"/>
              <w:bottom w:val="single" w:sz="4" w:space="0" w:color="auto"/>
              <w:right w:val="single" w:sz="4" w:space="0" w:color="auto"/>
            </w:tcBorders>
            <w:vAlign w:val="center"/>
            <w:hideMark/>
          </w:tcPr>
          <w:p w14:paraId="3094607D" w14:textId="77777777" w:rsidR="00015B3C" w:rsidRDefault="00015B3C" w:rsidP="00AA38FB">
            <w:pPr>
              <w:jc w:val="center"/>
              <w:rPr>
                <w:rFonts w:ascii="宋体" w:hAnsi="宋体"/>
                <w:szCs w:val="21"/>
              </w:rPr>
            </w:pPr>
            <w:r>
              <w:rPr>
                <w:rFonts w:ascii="宋体" w:hAnsi="宋体" w:hint="eastAsia"/>
                <w:szCs w:val="21"/>
              </w:rPr>
              <w:t>105</w:t>
            </w:r>
          </w:p>
        </w:tc>
      </w:tr>
      <w:tr w:rsidR="00015B3C" w14:paraId="2C76BAB1" w14:textId="77777777" w:rsidTr="00AA38FB">
        <w:trPr>
          <w:trHeight w:val="569"/>
          <w:jc w:val="center"/>
        </w:trPr>
        <w:tc>
          <w:tcPr>
            <w:tcW w:w="574" w:type="dxa"/>
            <w:tcBorders>
              <w:top w:val="single" w:sz="4" w:space="0" w:color="auto"/>
              <w:left w:val="single" w:sz="4" w:space="0" w:color="auto"/>
              <w:bottom w:val="single" w:sz="4" w:space="0" w:color="auto"/>
              <w:right w:val="single" w:sz="4" w:space="0" w:color="auto"/>
            </w:tcBorders>
            <w:vAlign w:val="center"/>
            <w:hideMark/>
          </w:tcPr>
          <w:p w14:paraId="747770A5" w14:textId="77777777" w:rsidR="00015B3C" w:rsidRDefault="00015B3C" w:rsidP="00AA38FB">
            <w:pPr>
              <w:jc w:val="center"/>
              <w:rPr>
                <w:rFonts w:ascii="宋体" w:hAnsi="宋体"/>
                <w:szCs w:val="21"/>
              </w:rPr>
            </w:pPr>
            <w:r>
              <w:rPr>
                <w:rFonts w:ascii="宋体" w:hAnsi="宋体" w:hint="eastAsia"/>
                <w:szCs w:val="21"/>
              </w:rPr>
              <w:t>3</w:t>
            </w:r>
          </w:p>
        </w:tc>
        <w:tc>
          <w:tcPr>
            <w:tcW w:w="737" w:type="dxa"/>
            <w:tcBorders>
              <w:top w:val="single" w:sz="4" w:space="0" w:color="auto"/>
              <w:left w:val="single" w:sz="4" w:space="0" w:color="auto"/>
              <w:bottom w:val="single" w:sz="4" w:space="0" w:color="auto"/>
              <w:right w:val="single" w:sz="4" w:space="0" w:color="auto"/>
            </w:tcBorders>
            <w:vAlign w:val="center"/>
            <w:hideMark/>
          </w:tcPr>
          <w:p w14:paraId="252959D0" w14:textId="77777777" w:rsidR="00015B3C" w:rsidRDefault="00015B3C" w:rsidP="00AA38FB">
            <w:pPr>
              <w:jc w:val="center"/>
              <w:rPr>
                <w:rFonts w:ascii="宋体" w:hAnsi="宋体"/>
                <w:szCs w:val="21"/>
              </w:rPr>
            </w:pPr>
            <w:r>
              <w:rPr>
                <w:rFonts w:ascii="宋体" w:hAnsi="宋体" w:hint="eastAsia"/>
                <w:szCs w:val="21"/>
              </w:rPr>
              <w:t>The Horizontal Slab Beneath East Asia and Its Subdued Surface Dynamic Response</w:t>
            </w:r>
          </w:p>
        </w:tc>
        <w:tc>
          <w:tcPr>
            <w:tcW w:w="778" w:type="dxa"/>
            <w:tcBorders>
              <w:top w:val="single" w:sz="4" w:space="0" w:color="auto"/>
              <w:left w:val="single" w:sz="4" w:space="0" w:color="auto"/>
              <w:bottom w:val="single" w:sz="4" w:space="0" w:color="auto"/>
              <w:right w:val="single" w:sz="4" w:space="0" w:color="auto"/>
            </w:tcBorders>
            <w:vAlign w:val="center"/>
            <w:hideMark/>
          </w:tcPr>
          <w:p w14:paraId="3E673B62" w14:textId="77777777" w:rsidR="00015B3C" w:rsidRDefault="00015B3C" w:rsidP="00AA38FB">
            <w:pPr>
              <w:jc w:val="center"/>
              <w:rPr>
                <w:rFonts w:ascii="宋体" w:hAnsi="宋体"/>
                <w:szCs w:val="21"/>
              </w:rPr>
            </w:pPr>
            <w:r>
              <w:rPr>
                <w:rFonts w:ascii="宋体" w:hAnsi="宋体" w:hint="eastAsia"/>
                <w:szCs w:val="21"/>
              </w:rPr>
              <w:t>Journal of Geophysical Research: Solid Earth</w:t>
            </w:r>
          </w:p>
        </w:tc>
        <w:tc>
          <w:tcPr>
            <w:tcW w:w="696" w:type="dxa"/>
            <w:tcBorders>
              <w:top w:val="single" w:sz="4" w:space="0" w:color="auto"/>
              <w:left w:val="single" w:sz="4" w:space="0" w:color="auto"/>
              <w:bottom w:val="single" w:sz="4" w:space="0" w:color="auto"/>
              <w:right w:val="single" w:sz="4" w:space="0" w:color="auto"/>
            </w:tcBorders>
            <w:vAlign w:val="center"/>
            <w:hideMark/>
          </w:tcPr>
          <w:p w14:paraId="195DE8A2" w14:textId="77777777" w:rsidR="00015B3C" w:rsidRDefault="00015B3C" w:rsidP="00AA38FB">
            <w:pPr>
              <w:jc w:val="center"/>
              <w:rPr>
                <w:rFonts w:ascii="宋体" w:hAnsi="宋体"/>
                <w:szCs w:val="21"/>
              </w:rPr>
            </w:pPr>
            <w:proofErr w:type="spellStart"/>
            <w:r>
              <w:rPr>
                <w:rFonts w:ascii="宋体" w:hAnsi="宋体" w:hint="eastAsia"/>
                <w:szCs w:val="21"/>
              </w:rPr>
              <w:t>Shaofeng</w:t>
            </w:r>
            <w:proofErr w:type="spellEnd"/>
            <w:r>
              <w:rPr>
                <w:rFonts w:ascii="宋体" w:hAnsi="宋体" w:hint="eastAsia"/>
                <w:szCs w:val="21"/>
              </w:rPr>
              <w:t xml:space="preserve"> Liu; </w:t>
            </w:r>
            <w:proofErr w:type="spellStart"/>
            <w:r>
              <w:rPr>
                <w:rFonts w:ascii="宋体" w:hAnsi="宋体" w:hint="eastAsia"/>
                <w:szCs w:val="21"/>
              </w:rPr>
              <w:t>Pengfei</w:t>
            </w:r>
            <w:proofErr w:type="spellEnd"/>
            <w:r>
              <w:rPr>
                <w:rFonts w:ascii="宋体" w:hAnsi="宋体" w:hint="eastAsia"/>
                <w:szCs w:val="21"/>
              </w:rPr>
              <w:t xml:space="preserve"> Ma; Bo Zhang; Michael </w:t>
            </w:r>
            <w:proofErr w:type="spellStart"/>
            <w:r>
              <w:rPr>
                <w:rFonts w:ascii="宋体" w:hAnsi="宋体" w:hint="eastAsia"/>
                <w:szCs w:val="21"/>
              </w:rPr>
              <w:t>Gurnis</w:t>
            </w:r>
            <w:proofErr w:type="spellEnd"/>
          </w:p>
        </w:tc>
        <w:tc>
          <w:tcPr>
            <w:tcW w:w="656" w:type="dxa"/>
            <w:tcBorders>
              <w:top w:val="single" w:sz="4" w:space="0" w:color="auto"/>
              <w:left w:val="single" w:sz="4" w:space="0" w:color="auto"/>
              <w:bottom w:val="single" w:sz="4" w:space="0" w:color="auto"/>
              <w:right w:val="single" w:sz="4" w:space="0" w:color="auto"/>
            </w:tcBorders>
            <w:vAlign w:val="center"/>
            <w:hideMark/>
          </w:tcPr>
          <w:p w14:paraId="42B25403" w14:textId="77777777" w:rsidR="00015B3C" w:rsidRDefault="00015B3C" w:rsidP="00AA38FB">
            <w:pPr>
              <w:jc w:val="center"/>
              <w:rPr>
                <w:rFonts w:ascii="宋体" w:hAnsi="宋体"/>
                <w:szCs w:val="21"/>
              </w:rPr>
            </w:pPr>
            <w:r>
              <w:rPr>
                <w:rFonts w:ascii="宋体" w:hAnsi="宋体" w:hint="eastAsia"/>
                <w:szCs w:val="21"/>
              </w:rPr>
              <w:t>2021年126卷e2020JB021156</w:t>
            </w:r>
          </w:p>
        </w:tc>
        <w:tc>
          <w:tcPr>
            <w:tcW w:w="656" w:type="dxa"/>
            <w:tcBorders>
              <w:top w:val="single" w:sz="4" w:space="0" w:color="auto"/>
              <w:left w:val="single" w:sz="4" w:space="0" w:color="auto"/>
              <w:bottom w:val="single" w:sz="4" w:space="0" w:color="auto"/>
              <w:right w:val="single" w:sz="4" w:space="0" w:color="auto"/>
            </w:tcBorders>
            <w:vAlign w:val="center"/>
            <w:hideMark/>
          </w:tcPr>
          <w:p w14:paraId="4E4DC3AA" w14:textId="77777777" w:rsidR="00015B3C" w:rsidRDefault="00015B3C" w:rsidP="00AA38FB">
            <w:pPr>
              <w:jc w:val="center"/>
              <w:rPr>
                <w:rFonts w:ascii="宋体" w:hAnsi="宋体"/>
                <w:szCs w:val="21"/>
              </w:rPr>
            </w:pPr>
            <w:r>
              <w:rPr>
                <w:rFonts w:ascii="宋体" w:hAnsi="宋体" w:hint="eastAsia"/>
                <w:szCs w:val="21"/>
              </w:rPr>
              <w:t>2021</w:t>
            </w:r>
            <w:r>
              <w:rPr>
                <w:rFonts w:ascii="宋体" w:hAnsi="宋体" w:hint="eastAsia"/>
                <w:szCs w:val="21"/>
              </w:rPr>
              <w:br/>
              <w:t>-03</w:t>
            </w:r>
            <w:r>
              <w:rPr>
                <w:rFonts w:ascii="宋体" w:hAnsi="宋体" w:hint="eastAsia"/>
                <w:szCs w:val="21"/>
              </w:rPr>
              <w:br/>
              <w:t>-25</w:t>
            </w:r>
          </w:p>
        </w:tc>
        <w:tc>
          <w:tcPr>
            <w:tcW w:w="656" w:type="dxa"/>
            <w:tcBorders>
              <w:top w:val="single" w:sz="4" w:space="0" w:color="auto"/>
              <w:left w:val="single" w:sz="4" w:space="0" w:color="auto"/>
              <w:bottom w:val="single" w:sz="4" w:space="0" w:color="auto"/>
              <w:right w:val="single" w:sz="4" w:space="0" w:color="auto"/>
            </w:tcBorders>
            <w:vAlign w:val="center"/>
            <w:hideMark/>
          </w:tcPr>
          <w:p w14:paraId="18584307" w14:textId="77777777" w:rsidR="00015B3C" w:rsidRDefault="00015B3C" w:rsidP="00AA38FB">
            <w:pPr>
              <w:jc w:val="center"/>
              <w:rPr>
                <w:rFonts w:ascii="宋体" w:hAnsi="宋体"/>
                <w:szCs w:val="21"/>
              </w:rPr>
            </w:pPr>
            <w:r>
              <w:rPr>
                <w:rFonts w:ascii="宋体" w:hAnsi="宋体" w:hint="eastAsia"/>
                <w:szCs w:val="21"/>
              </w:rPr>
              <w:t>是</w:t>
            </w:r>
          </w:p>
        </w:tc>
        <w:tc>
          <w:tcPr>
            <w:tcW w:w="778" w:type="dxa"/>
            <w:tcBorders>
              <w:top w:val="single" w:sz="4" w:space="0" w:color="auto"/>
              <w:left w:val="single" w:sz="4" w:space="0" w:color="auto"/>
              <w:bottom w:val="single" w:sz="4" w:space="0" w:color="auto"/>
              <w:right w:val="single" w:sz="4" w:space="0" w:color="auto"/>
            </w:tcBorders>
            <w:vAlign w:val="center"/>
            <w:hideMark/>
          </w:tcPr>
          <w:p w14:paraId="0D101719" w14:textId="77777777" w:rsidR="00015B3C" w:rsidRDefault="00015B3C" w:rsidP="00AA38FB">
            <w:pPr>
              <w:jc w:val="center"/>
              <w:rPr>
                <w:rFonts w:ascii="宋体" w:hAnsi="宋体"/>
                <w:szCs w:val="21"/>
              </w:rPr>
            </w:pPr>
            <w:r>
              <w:rPr>
                <w:rFonts w:ascii="宋体" w:hAnsi="宋体" w:hint="eastAsia"/>
                <w:szCs w:val="21"/>
              </w:rPr>
              <w:t>23</w:t>
            </w:r>
          </w:p>
        </w:tc>
        <w:tc>
          <w:tcPr>
            <w:tcW w:w="696" w:type="dxa"/>
            <w:tcBorders>
              <w:top w:val="single" w:sz="4" w:space="0" w:color="auto"/>
              <w:left w:val="single" w:sz="4" w:space="0" w:color="auto"/>
              <w:bottom w:val="single" w:sz="4" w:space="0" w:color="auto"/>
              <w:right w:val="single" w:sz="4" w:space="0" w:color="auto"/>
            </w:tcBorders>
            <w:vAlign w:val="center"/>
            <w:hideMark/>
          </w:tcPr>
          <w:p w14:paraId="3D52CC5C" w14:textId="77777777" w:rsidR="00015B3C" w:rsidRDefault="00015B3C" w:rsidP="00AA38FB">
            <w:pPr>
              <w:jc w:val="center"/>
              <w:rPr>
                <w:rFonts w:ascii="宋体" w:hAnsi="宋体"/>
                <w:szCs w:val="21"/>
              </w:rPr>
            </w:pPr>
            <w:r>
              <w:rPr>
                <w:rFonts w:ascii="宋体" w:hAnsi="宋体" w:hint="eastAsia"/>
                <w:szCs w:val="21"/>
              </w:rPr>
              <w:t>34</w:t>
            </w:r>
          </w:p>
        </w:tc>
      </w:tr>
      <w:tr w:rsidR="00015B3C" w14:paraId="77731816" w14:textId="77777777" w:rsidTr="00AA38FB">
        <w:trPr>
          <w:trHeight w:val="569"/>
          <w:jc w:val="center"/>
        </w:trPr>
        <w:tc>
          <w:tcPr>
            <w:tcW w:w="574" w:type="dxa"/>
            <w:tcBorders>
              <w:top w:val="single" w:sz="4" w:space="0" w:color="auto"/>
              <w:left w:val="single" w:sz="4" w:space="0" w:color="auto"/>
              <w:bottom w:val="single" w:sz="4" w:space="0" w:color="auto"/>
              <w:right w:val="single" w:sz="4" w:space="0" w:color="auto"/>
            </w:tcBorders>
            <w:vAlign w:val="center"/>
            <w:hideMark/>
          </w:tcPr>
          <w:p w14:paraId="61E4E6E6" w14:textId="77777777" w:rsidR="00015B3C" w:rsidRDefault="00015B3C" w:rsidP="00AA38FB">
            <w:pPr>
              <w:jc w:val="center"/>
              <w:rPr>
                <w:rFonts w:ascii="宋体" w:hAnsi="宋体"/>
                <w:szCs w:val="21"/>
              </w:rPr>
            </w:pPr>
            <w:r>
              <w:rPr>
                <w:rFonts w:ascii="宋体" w:hAnsi="宋体" w:hint="eastAsia"/>
                <w:szCs w:val="21"/>
              </w:rPr>
              <w:t>4</w:t>
            </w:r>
          </w:p>
        </w:tc>
        <w:tc>
          <w:tcPr>
            <w:tcW w:w="737" w:type="dxa"/>
            <w:tcBorders>
              <w:top w:val="single" w:sz="4" w:space="0" w:color="auto"/>
              <w:left w:val="single" w:sz="4" w:space="0" w:color="auto"/>
              <w:bottom w:val="single" w:sz="4" w:space="0" w:color="auto"/>
              <w:right w:val="single" w:sz="4" w:space="0" w:color="auto"/>
            </w:tcBorders>
            <w:vAlign w:val="center"/>
            <w:hideMark/>
          </w:tcPr>
          <w:p w14:paraId="257AF427" w14:textId="77777777" w:rsidR="00015B3C" w:rsidRDefault="00015B3C" w:rsidP="00AA38FB">
            <w:pPr>
              <w:jc w:val="center"/>
              <w:rPr>
                <w:rFonts w:ascii="宋体" w:hAnsi="宋体"/>
                <w:szCs w:val="21"/>
              </w:rPr>
            </w:pPr>
            <w:r>
              <w:rPr>
                <w:rFonts w:ascii="宋体" w:hAnsi="宋体" w:hint="eastAsia"/>
                <w:szCs w:val="21"/>
              </w:rPr>
              <w:t>Slab Horizontal Subduction and Slab Tearing Beneath East Asia</w:t>
            </w:r>
          </w:p>
        </w:tc>
        <w:tc>
          <w:tcPr>
            <w:tcW w:w="778" w:type="dxa"/>
            <w:tcBorders>
              <w:top w:val="single" w:sz="4" w:space="0" w:color="auto"/>
              <w:left w:val="single" w:sz="4" w:space="0" w:color="auto"/>
              <w:bottom w:val="single" w:sz="4" w:space="0" w:color="auto"/>
              <w:right w:val="single" w:sz="4" w:space="0" w:color="auto"/>
            </w:tcBorders>
            <w:vAlign w:val="center"/>
            <w:hideMark/>
          </w:tcPr>
          <w:p w14:paraId="78F53389" w14:textId="77777777" w:rsidR="00015B3C" w:rsidRDefault="00015B3C" w:rsidP="00AA38FB">
            <w:pPr>
              <w:jc w:val="center"/>
              <w:rPr>
                <w:rFonts w:ascii="宋体" w:hAnsi="宋体"/>
                <w:szCs w:val="21"/>
              </w:rPr>
            </w:pPr>
            <w:r>
              <w:rPr>
                <w:rFonts w:ascii="宋体" w:hAnsi="宋体" w:hint="eastAsia"/>
                <w:szCs w:val="21"/>
              </w:rPr>
              <w:t>Geophysical Research Letters</w:t>
            </w:r>
          </w:p>
        </w:tc>
        <w:tc>
          <w:tcPr>
            <w:tcW w:w="696" w:type="dxa"/>
            <w:tcBorders>
              <w:top w:val="single" w:sz="4" w:space="0" w:color="auto"/>
              <w:left w:val="single" w:sz="4" w:space="0" w:color="auto"/>
              <w:bottom w:val="single" w:sz="4" w:space="0" w:color="auto"/>
              <w:right w:val="single" w:sz="4" w:space="0" w:color="auto"/>
            </w:tcBorders>
            <w:vAlign w:val="center"/>
            <w:hideMark/>
          </w:tcPr>
          <w:p w14:paraId="71C717E3" w14:textId="77777777" w:rsidR="00015B3C" w:rsidRDefault="00015B3C" w:rsidP="00AA38FB">
            <w:pPr>
              <w:jc w:val="center"/>
              <w:rPr>
                <w:rFonts w:ascii="宋体" w:hAnsi="宋体"/>
                <w:szCs w:val="21"/>
              </w:rPr>
            </w:pPr>
            <w:proofErr w:type="spellStart"/>
            <w:r>
              <w:rPr>
                <w:rFonts w:ascii="宋体" w:hAnsi="宋体" w:hint="eastAsia"/>
                <w:szCs w:val="21"/>
              </w:rPr>
              <w:t>Pengfei</w:t>
            </w:r>
            <w:proofErr w:type="spellEnd"/>
            <w:r>
              <w:rPr>
                <w:rFonts w:ascii="宋体" w:hAnsi="宋体" w:hint="eastAsia"/>
                <w:szCs w:val="21"/>
              </w:rPr>
              <w:t xml:space="preserve"> Ma; </w:t>
            </w:r>
            <w:proofErr w:type="spellStart"/>
            <w:r>
              <w:rPr>
                <w:rFonts w:ascii="宋体" w:hAnsi="宋体" w:hint="eastAsia"/>
                <w:szCs w:val="21"/>
              </w:rPr>
              <w:t>Shaofeng</w:t>
            </w:r>
            <w:proofErr w:type="spellEnd"/>
            <w:r>
              <w:rPr>
                <w:rFonts w:ascii="宋体" w:hAnsi="宋体" w:hint="eastAsia"/>
                <w:szCs w:val="21"/>
              </w:rPr>
              <w:t xml:space="preserve"> Liu; Michael </w:t>
            </w:r>
            <w:proofErr w:type="spellStart"/>
            <w:r>
              <w:rPr>
                <w:rFonts w:ascii="宋体" w:hAnsi="宋体" w:hint="eastAsia"/>
                <w:szCs w:val="21"/>
              </w:rPr>
              <w:t>Gurnis</w:t>
            </w:r>
            <w:proofErr w:type="spellEnd"/>
            <w:r>
              <w:rPr>
                <w:rFonts w:ascii="宋体" w:hAnsi="宋体" w:hint="eastAsia"/>
                <w:szCs w:val="21"/>
              </w:rPr>
              <w:t>; Bo Zhang</w:t>
            </w:r>
          </w:p>
        </w:tc>
        <w:tc>
          <w:tcPr>
            <w:tcW w:w="656" w:type="dxa"/>
            <w:tcBorders>
              <w:top w:val="single" w:sz="4" w:space="0" w:color="auto"/>
              <w:left w:val="single" w:sz="4" w:space="0" w:color="auto"/>
              <w:bottom w:val="single" w:sz="4" w:space="0" w:color="auto"/>
              <w:right w:val="single" w:sz="4" w:space="0" w:color="auto"/>
            </w:tcBorders>
            <w:vAlign w:val="center"/>
            <w:hideMark/>
          </w:tcPr>
          <w:p w14:paraId="7DEC48E3" w14:textId="77777777" w:rsidR="00015B3C" w:rsidRDefault="00015B3C" w:rsidP="00AA38FB">
            <w:pPr>
              <w:jc w:val="center"/>
              <w:rPr>
                <w:rFonts w:ascii="宋体" w:hAnsi="宋体"/>
                <w:szCs w:val="21"/>
              </w:rPr>
            </w:pPr>
            <w:r>
              <w:rPr>
                <w:rFonts w:ascii="宋体" w:hAnsi="宋体" w:hint="eastAsia"/>
                <w:szCs w:val="21"/>
              </w:rPr>
              <w:t>2019年46卷5161–5169页</w:t>
            </w:r>
          </w:p>
        </w:tc>
        <w:tc>
          <w:tcPr>
            <w:tcW w:w="656" w:type="dxa"/>
            <w:tcBorders>
              <w:top w:val="single" w:sz="4" w:space="0" w:color="auto"/>
              <w:left w:val="single" w:sz="4" w:space="0" w:color="auto"/>
              <w:bottom w:val="single" w:sz="4" w:space="0" w:color="auto"/>
              <w:right w:val="single" w:sz="4" w:space="0" w:color="auto"/>
            </w:tcBorders>
            <w:vAlign w:val="center"/>
            <w:hideMark/>
          </w:tcPr>
          <w:p w14:paraId="6CB51C2E" w14:textId="77777777" w:rsidR="00015B3C" w:rsidRDefault="00015B3C" w:rsidP="00AA38FB">
            <w:pPr>
              <w:jc w:val="center"/>
              <w:rPr>
                <w:rFonts w:ascii="宋体" w:hAnsi="宋体"/>
                <w:szCs w:val="21"/>
              </w:rPr>
            </w:pPr>
            <w:r>
              <w:rPr>
                <w:rFonts w:ascii="宋体" w:hAnsi="宋体" w:hint="eastAsia"/>
                <w:szCs w:val="21"/>
              </w:rPr>
              <w:t>2019</w:t>
            </w:r>
            <w:r>
              <w:rPr>
                <w:rFonts w:ascii="宋体" w:hAnsi="宋体" w:hint="eastAsia"/>
                <w:szCs w:val="21"/>
              </w:rPr>
              <w:br/>
              <w:t>-05</w:t>
            </w:r>
            <w:r>
              <w:rPr>
                <w:rFonts w:ascii="宋体" w:hAnsi="宋体" w:hint="eastAsia"/>
                <w:szCs w:val="21"/>
              </w:rPr>
              <w:br/>
              <w:t>-21</w:t>
            </w:r>
          </w:p>
        </w:tc>
        <w:tc>
          <w:tcPr>
            <w:tcW w:w="656" w:type="dxa"/>
            <w:tcBorders>
              <w:top w:val="single" w:sz="4" w:space="0" w:color="auto"/>
              <w:left w:val="single" w:sz="4" w:space="0" w:color="auto"/>
              <w:bottom w:val="single" w:sz="4" w:space="0" w:color="auto"/>
              <w:right w:val="single" w:sz="4" w:space="0" w:color="auto"/>
            </w:tcBorders>
            <w:vAlign w:val="center"/>
            <w:hideMark/>
          </w:tcPr>
          <w:p w14:paraId="7B070A51" w14:textId="77777777" w:rsidR="00015B3C" w:rsidRDefault="00015B3C" w:rsidP="00AA38FB">
            <w:pPr>
              <w:jc w:val="center"/>
              <w:rPr>
                <w:rFonts w:ascii="宋体" w:hAnsi="宋体"/>
                <w:szCs w:val="21"/>
              </w:rPr>
            </w:pPr>
            <w:r>
              <w:rPr>
                <w:rFonts w:ascii="宋体" w:hAnsi="宋体" w:hint="eastAsia"/>
                <w:szCs w:val="21"/>
              </w:rPr>
              <w:t>是</w:t>
            </w:r>
          </w:p>
        </w:tc>
        <w:tc>
          <w:tcPr>
            <w:tcW w:w="778" w:type="dxa"/>
            <w:tcBorders>
              <w:top w:val="single" w:sz="4" w:space="0" w:color="auto"/>
              <w:left w:val="single" w:sz="4" w:space="0" w:color="auto"/>
              <w:bottom w:val="single" w:sz="4" w:space="0" w:color="auto"/>
              <w:right w:val="single" w:sz="4" w:space="0" w:color="auto"/>
            </w:tcBorders>
            <w:vAlign w:val="center"/>
            <w:hideMark/>
          </w:tcPr>
          <w:p w14:paraId="5823BE22" w14:textId="77777777" w:rsidR="00015B3C" w:rsidRDefault="00015B3C" w:rsidP="00AA38FB">
            <w:pPr>
              <w:jc w:val="center"/>
              <w:rPr>
                <w:rFonts w:ascii="宋体" w:hAnsi="宋体"/>
                <w:szCs w:val="21"/>
              </w:rPr>
            </w:pPr>
            <w:r>
              <w:rPr>
                <w:rFonts w:ascii="宋体" w:hAnsi="宋体" w:hint="eastAsia"/>
                <w:szCs w:val="21"/>
              </w:rPr>
              <w:t>46</w:t>
            </w:r>
          </w:p>
        </w:tc>
        <w:tc>
          <w:tcPr>
            <w:tcW w:w="696" w:type="dxa"/>
            <w:tcBorders>
              <w:top w:val="single" w:sz="4" w:space="0" w:color="auto"/>
              <w:left w:val="single" w:sz="4" w:space="0" w:color="auto"/>
              <w:bottom w:val="single" w:sz="4" w:space="0" w:color="auto"/>
              <w:right w:val="single" w:sz="4" w:space="0" w:color="auto"/>
            </w:tcBorders>
            <w:vAlign w:val="center"/>
            <w:hideMark/>
          </w:tcPr>
          <w:p w14:paraId="6E42102A" w14:textId="77777777" w:rsidR="00015B3C" w:rsidRDefault="00015B3C" w:rsidP="00AA38FB">
            <w:pPr>
              <w:jc w:val="center"/>
              <w:rPr>
                <w:rFonts w:ascii="宋体" w:hAnsi="宋体"/>
                <w:szCs w:val="21"/>
              </w:rPr>
            </w:pPr>
            <w:r>
              <w:rPr>
                <w:rFonts w:ascii="宋体" w:hAnsi="宋体" w:hint="eastAsia"/>
                <w:szCs w:val="21"/>
              </w:rPr>
              <w:t>68</w:t>
            </w:r>
          </w:p>
        </w:tc>
      </w:tr>
      <w:tr w:rsidR="00015B3C" w14:paraId="530EB46E" w14:textId="77777777" w:rsidTr="00AA38FB">
        <w:trPr>
          <w:trHeight w:val="569"/>
          <w:jc w:val="center"/>
        </w:trPr>
        <w:tc>
          <w:tcPr>
            <w:tcW w:w="574" w:type="dxa"/>
            <w:tcBorders>
              <w:top w:val="single" w:sz="4" w:space="0" w:color="auto"/>
              <w:left w:val="single" w:sz="4" w:space="0" w:color="auto"/>
              <w:bottom w:val="single" w:sz="4" w:space="0" w:color="auto"/>
              <w:right w:val="single" w:sz="4" w:space="0" w:color="auto"/>
            </w:tcBorders>
            <w:vAlign w:val="center"/>
            <w:hideMark/>
          </w:tcPr>
          <w:p w14:paraId="156FF583" w14:textId="77777777" w:rsidR="00015B3C" w:rsidRDefault="00015B3C" w:rsidP="00AA38FB">
            <w:pPr>
              <w:jc w:val="center"/>
              <w:rPr>
                <w:rFonts w:ascii="宋体" w:hAnsi="宋体"/>
                <w:szCs w:val="21"/>
              </w:rPr>
            </w:pPr>
            <w:r>
              <w:rPr>
                <w:rFonts w:ascii="宋体" w:hAnsi="宋体" w:hint="eastAsia"/>
                <w:szCs w:val="21"/>
              </w:rPr>
              <w:t>5</w:t>
            </w:r>
          </w:p>
        </w:tc>
        <w:tc>
          <w:tcPr>
            <w:tcW w:w="737" w:type="dxa"/>
            <w:tcBorders>
              <w:top w:val="single" w:sz="4" w:space="0" w:color="auto"/>
              <w:left w:val="single" w:sz="4" w:space="0" w:color="auto"/>
              <w:bottom w:val="single" w:sz="4" w:space="0" w:color="auto"/>
              <w:right w:val="single" w:sz="4" w:space="0" w:color="auto"/>
            </w:tcBorders>
            <w:vAlign w:val="center"/>
            <w:hideMark/>
          </w:tcPr>
          <w:p w14:paraId="032A5D43" w14:textId="77777777" w:rsidR="00015B3C" w:rsidRDefault="00015B3C" w:rsidP="00AA38FB">
            <w:pPr>
              <w:jc w:val="center"/>
              <w:rPr>
                <w:rFonts w:ascii="宋体" w:hAnsi="宋体"/>
                <w:szCs w:val="21"/>
              </w:rPr>
            </w:pPr>
            <w:r>
              <w:rPr>
                <w:rFonts w:ascii="宋体" w:hAnsi="宋体" w:hint="eastAsia"/>
                <w:szCs w:val="21"/>
              </w:rPr>
              <w:t>Subduction Polarity Reversal: Induced or Spontaneous?</w:t>
            </w:r>
          </w:p>
        </w:tc>
        <w:tc>
          <w:tcPr>
            <w:tcW w:w="778" w:type="dxa"/>
            <w:tcBorders>
              <w:top w:val="single" w:sz="4" w:space="0" w:color="auto"/>
              <w:left w:val="single" w:sz="4" w:space="0" w:color="auto"/>
              <w:bottom w:val="single" w:sz="4" w:space="0" w:color="auto"/>
              <w:right w:val="single" w:sz="4" w:space="0" w:color="auto"/>
            </w:tcBorders>
            <w:vAlign w:val="center"/>
            <w:hideMark/>
          </w:tcPr>
          <w:p w14:paraId="0B488F70" w14:textId="77777777" w:rsidR="00015B3C" w:rsidRDefault="00015B3C" w:rsidP="00AA38FB">
            <w:pPr>
              <w:jc w:val="center"/>
              <w:rPr>
                <w:rFonts w:ascii="宋体" w:hAnsi="宋体"/>
                <w:szCs w:val="21"/>
              </w:rPr>
            </w:pPr>
            <w:r>
              <w:rPr>
                <w:rFonts w:ascii="宋体" w:hAnsi="宋体" w:hint="eastAsia"/>
                <w:szCs w:val="21"/>
              </w:rPr>
              <w:t>Geophysical Research Letters</w:t>
            </w:r>
          </w:p>
        </w:tc>
        <w:tc>
          <w:tcPr>
            <w:tcW w:w="696" w:type="dxa"/>
            <w:tcBorders>
              <w:top w:val="single" w:sz="4" w:space="0" w:color="auto"/>
              <w:left w:val="single" w:sz="4" w:space="0" w:color="auto"/>
              <w:bottom w:val="single" w:sz="4" w:space="0" w:color="auto"/>
              <w:right w:val="single" w:sz="4" w:space="0" w:color="auto"/>
            </w:tcBorders>
            <w:vAlign w:val="center"/>
            <w:hideMark/>
          </w:tcPr>
          <w:p w14:paraId="79B362B9" w14:textId="77777777" w:rsidR="00015B3C" w:rsidRDefault="00015B3C" w:rsidP="00AA38FB">
            <w:pPr>
              <w:jc w:val="center"/>
              <w:rPr>
                <w:rFonts w:ascii="宋体" w:hAnsi="宋体"/>
                <w:szCs w:val="21"/>
              </w:rPr>
            </w:pPr>
            <w:proofErr w:type="spellStart"/>
            <w:r>
              <w:rPr>
                <w:rFonts w:ascii="宋体" w:hAnsi="宋体" w:hint="eastAsia"/>
                <w:szCs w:val="21"/>
              </w:rPr>
              <w:t>Shengxing</w:t>
            </w:r>
            <w:proofErr w:type="spellEnd"/>
            <w:r>
              <w:rPr>
                <w:rFonts w:ascii="宋体" w:hAnsi="宋体" w:hint="eastAsia"/>
                <w:szCs w:val="21"/>
              </w:rPr>
              <w:t xml:space="preserve"> Zhang; Wei </w:t>
            </w:r>
            <w:proofErr w:type="spellStart"/>
            <w:r>
              <w:rPr>
                <w:rFonts w:ascii="宋体" w:hAnsi="宋体" w:hint="eastAsia"/>
                <w:szCs w:val="21"/>
              </w:rPr>
              <w:t>Leng</w:t>
            </w:r>
            <w:proofErr w:type="spellEnd"/>
          </w:p>
        </w:tc>
        <w:tc>
          <w:tcPr>
            <w:tcW w:w="656" w:type="dxa"/>
            <w:tcBorders>
              <w:top w:val="single" w:sz="4" w:space="0" w:color="auto"/>
              <w:left w:val="single" w:sz="4" w:space="0" w:color="auto"/>
              <w:bottom w:val="single" w:sz="4" w:space="0" w:color="auto"/>
              <w:right w:val="single" w:sz="4" w:space="0" w:color="auto"/>
            </w:tcBorders>
            <w:vAlign w:val="center"/>
            <w:hideMark/>
          </w:tcPr>
          <w:p w14:paraId="71DF5C63" w14:textId="77777777" w:rsidR="00015B3C" w:rsidRDefault="00015B3C" w:rsidP="00AA38FB">
            <w:pPr>
              <w:jc w:val="center"/>
              <w:rPr>
                <w:rFonts w:ascii="宋体" w:hAnsi="宋体"/>
                <w:szCs w:val="21"/>
              </w:rPr>
            </w:pPr>
            <w:r>
              <w:rPr>
                <w:rFonts w:ascii="宋体" w:hAnsi="宋体" w:hint="eastAsia"/>
                <w:szCs w:val="21"/>
              </w:rPr>
              <w:t>2021年48卷e2021GL093201</w:t>
            </w:r>
          </w:p>
        </w:tc>
        <w:tc>
          <w:tcPr>
            <w:tcW w:w="656" w:type="dxa"/>
            <w:tcBorders>
              <w:top w:val="single" w:sz="4" w:space="0" w:color="auto"/>
              <w:left w:val="single" w:sz="4" w:space="0" w:color="auto"/>
              <w:bottom w:val="single" w:sz="4" w:space="0" w:color="auto"/>
              <w:right w:val="single" w:sz="4" w:space="0" w:color="auto"/>
            </w:tcBorders>
            <w:vAlign w:val="center"/>
            <w:hideMark/>
          </w:tcPr>
          <w:p w14:paraId="20E8495D" w14:textId="77777777" w:rsidR="00015B3C" w:rsidRDefault="00015B3C" w:rsidP="00AA38FB">
            <w:pPr>
              <w:jc w:val="center"/>
              <w:rPr>
                <w:rFonts w:ascii="宋体" w:hAnsi="宋体"/>
                <w:szCs w:val="21"/>
              </w:rPr>
            </w:pPr>
            <w:r>
              <w:rPr>
                <w:rFonts w:ascii="宋体" w:hAnsi="宋体" w:hint="eastAsia"/>
                <w:szCs w:val="21"/>
              </w:rPr>
              <w:t>2021</w:t>
            </w:r>
            <w:r>
              <w:rPr>
                <w:rFonts w:ascii="宋体" w:hAnsi="宋体" w:hint="eastAsia"/>
                <w:szCs w:val="21"/>
              </w:rPr>
              <w:br/>
              <w:t>-06</w:t>
            </w:r>
            <w:r>
              <w:rPr>
                <w:rFonts w:ascii="宋体" w:hAnsi="宋体" w:hint="eastAsia"/>
                <w:szCs w:val="21"/>
              </w:rPr>
              <w:br/>
              <w:t>-05</w:t>
            </w:r>
          </w:p>
        </w:tc>
        <w:tc>
          <w:tcPr>
            <w:tcW w:w="656" w:type="dxa"/>
            <w:tcBorders>
              <w:top w:val="single" w:sz="4" w:space="0" w:color="auto"/>
              <w:left w:val="single" w:sz="4" w:space="0" w:color="auto"/>
              <w:bottom w:val="single" w:sz="4" w:space="0" w:color="auto"/>
              <w:right w:val="single" w:sz="4" w:space="0" w:color="auto"/>
            </w:tcBorders>
            <w:vAlign w:val="center"/>
            <w:hideMark/>
          </w:tcPr>
          <w:p w14:paraId="0A5330F5" w14:textId="77777777" w:rsidR="00015B3C" w:rsidRDefault="00015B3C" w:rsidP="00AA38FB">
            <w:pPr>
              <w:jc w:val="center"/>
              <w:rPr>
                <w:rFonts w:ascii="宋体" w:hAnsi="宋体"/>
                <w:szCs w:val="21"/>
              </w:rPr>
            </w:pPr>
            <w:r>
              <w:rPr>
                <w:rFonts w:ascii="宋体" w:hAnsi="宋体" w:hint="eastAsia"/>
                <w:szCs w:val="21"/>
              </w:rPr>
              <w:t>是</w:t>
            </w:r>
          </w:p>
        </w:tc>
        <w:tc>
          <w:tcPr>
            <w:tcW w:w="778" w:type="dxa"/>
            <w:tcBorders>
              <w:top w:val="single" w:sz="4" w:space="0" w:color="auto"/>
              <w:left w:val="single" w:sz="4" w:space="0" w:color="auto"/>
              <w:bottom w:val="single" w:sz="4" w:space="0" w:color="auto"/>
              <w:right w:val="single" w:sz="4" w:space="0" w:color="auto"/>
            </w:tcBorders>
            <w:vAlign w:val="center"/>
            <w:hideMark/>
          </w:tcPr>
          <w:p w14:paraId="3489D503" w14:textId="77777777" w:rsidR="00015B3C" w:rsidRDefault="00015B3C" w:rsidP="00AA38FB">
            <w:pPr>
              <w:jc w:val="center"/>
              <w:rPr>
                <w:rFonts w:ascii="宋体" w:hAnsi="宋体"/>
                <w:szCs w:val="21"/>
              </w:rPr>
            </w:pPr>
            <w:r>
              <w:rPr>
                <w:rFonts w:ascii="宋体" w:hAnsi="宋体" w:hint="eastAsia"/>
                <w:szCs w:val="21"/>
              </w:rPr>
              <w:t>26</w:t>
            </w:r>
          </w:p>
        </w:tc>
        <w:tc>
          <w:tcPr>
            <w:tcW w:w="696" w:type="dxa"/>
            <w:tcBorders>
              <w:top w:val="single" w:sz="4" w:space="0" w:color="auto"/>
              <w:left w:val="single" w:sz="4" w:space="0" w:color="auto"/>
              <w:bottom w:val="single" w:sz="4" w:space="0" w:color="auto"/>
              <w:right w:val="single" w:sz="4" w:space="0" w:color="auto"/>
            </w:tcBorders>
            <w:vAlign w:val="center"/>
            <w:hideMark/>
          </w:tcPr>
          <w:p w14:paraId="26BD9BCC" w14:textId="77777777" w:rsidR="00015B3C" w:rsidRDefault="00015B3C" w:rsidP="00AA38FB">
            <w:pPr>
              <w:jc w:val="center"/>
              <w:rPr>
                <w:rFonts w:ascii="宋体" w:hAnsi="宋体"/>
                <w:szCs w:val="21"/>
              </w:rPr>
            </w:pPr>
            <w:r>
              <w:rPr>
                <w:rFonts w:ascii="宋体" w:hAnsi="宋体" w:hint="eastAsia"/>
                <w:szCs w:val="21"/>
              </w:rPr>
              <w:t>30</w:t>
            </w:r>
          </w:p>
        </w:tc>
      </w:tr>
      <w:tr w:rsidR="00015B3C" w14:paraId="6216BBD1" w14:textId="77777777" w:rsidTr="00AA38FB">
        <w:trPr>
          <w:trHeight w:val="569"/>
          <w:jc w:val="center"/>
        </w:trPr>
        <w:tc>
          <w:tcPr>
            <w:tcW w:w="574" w:type="dxa"/>
            <w:tcBorders>
              <w:top w:val="single" w:sz="4" w:space="0" w:color="auto"/>
              <w:left w:val="single" w:sz="4" w:space="0" w:color="auto"/>
              <w:bottom w:val="single" w:sz="4" w:space="0" w:color="auto"/>
              <w:right w:val="single" w:sz="4" w:space="0" w:color="auto"/>
            </w:tcBorders>
            <w:vAlign w:val="center"/>
            <w:hideMark/>
          </w:tcPr>
          <w:p w14:paraId="762CB933" w14:textId="77777777" w:rsidR="00015B3C" w:rsidRDefault="00015B3C" w:rsidP="00AA38FB">
            <w:pPr>
              <w:jc w:val="center"/>
              <w:rPr>
                <w:rFonts w:ascii="宋体" w:hAnsi="宋体"/>
                <w:szCs w:val="21"/>
              </w:rPr>
            </w:pPr>
            <w:r>
              <w:rPr>
                <w:rFonts w:ascii="宋体" w:hAnsi="宋体" w:hint="eastAsia"/>
                <w:szCs w:val="21"/>
              </w:rPr>
              <w:lastRenderedPageBreak/>
              <w:t>6</w:t>
            </w:r>
          </w:p>
        </w:tc>
        <w:tc>
          <w:tcPr>
            <w:tcW w:w="737" w:type="dxa"/>
            <w:tcBorders>
              <w:top w:val="single" w:sz="4" w:space="0" w:color="auto"/>
              <w:left w:val="single" w:sz="4" w:space="0" w:color="auto"/>
              <w:bottom w:val="single" w:sz="4" w:space="0" w:color="auto"/>
              <w:right w:val="single" w:sz="4" w:space="0" w:color="auto"/>
            </w:tcBorders>
            <w:vAlign w:val="center"/>
            <w:hideMark/>
          </w:tcPr>
          <w:p w14:paraId="2CC9C02E" w14:textId="77777777" w:rsidR="00015B3C" w:rsidRDefault="00015B3C" w:rsidP="00AA38FB">
            <w:pPr>
              <w:jc w:val="center"/>
              <w:rPr>
                <w:rFonts w:ascii="宋体" w:hAnsi="宋体"/>
                <w:szCs w:val="21"/>
              </w:rPr>
            </w:pPr>
            <w:r>
              <w:rPr>
                <w:rFonts w:ascii="宋体" w:hAnsi="宋体" w:hint="eastAsia"/>
                <w:szCs w:val="21"/>
              </w:rPr>
              <w:t>Oblique closure of the northeastern Paleo-Tethys in central China</w:t>
            </w:r>
          </w:p>
        </w:tc>
        <w:tc>
          <w:tcPr>
            <w:tcW w:w="778" w:type="dxa"/>
            <w:tcBorders>
              <w:top w:val="single" w:sz="4" w:space="0" w:color="auto"/>
              <w:left w:val="single" w:sz="4" w:space="0" w:color="auto"/>
              <w:bottom w:val="single" w:sz="4" w:space="0" w:color="auto"/>
              <w:right w:val="single" w:sz="4" w:space="0" w:color="auto"/>
            </w:tcBorders>
            <w:vAlign w:val="center"/>
            <w:hideMark/>
          </w:tcPr>
          <w:p w14:paraId="52DE78DB" w14:textId="77777777" w:rsidR="00015B3C" w:rsidRDefault="00015B3C" w:rsidP="00AA38FB">
            <w:pPr>
              <w:jc w:val="center"/>
              <w:rPr>
                <w:rFonts w:ascii="宋体" w:hAnsi="宋体"/>
                <w:szCs w:val="21"/>
              </w:rPr>
            </w:pPr>
            <w:r>
              <w:rPr>
                <w:rFonts w:ascii="宋体" w:hAnsi="宋体" w:hint="eastAsia"/>
                <w:szCs w:val="21"/>
              </w:rPr>
              <w:t>Tectonics</w:t>
            </w:r>
          </w:p>
        </w:tc>
        <w:tc>
          <w:tcPr>
            <w:tcW w:w="696" w:type="dxa"/>
            <w:tcBorders>
              <w:top w:val="single" w:sz="4" w:space="0" w:color="auto"/>
              <w:left w:val="single" w:sz="4" w:space="0" w:color="auto"/>
              <w:bottom w:val="single" w:sz="4" w:space="0" w:color="auto"/>
              <w:right w:val="single" w:sz="4" w:space="0" w:color="auto"/>
            </w:tcBorders>
            <w:vAlign w:val="center"/>
            <w:hideMark/>
          </w:tcPr>
          <w:p w14:paraId="3BCF42B9" w14:textId="77777777" w:rsidR="00015B3C" w:rsidRDefault="00015B3C" w:rsidP="00AA38FB">
            <w:pPr>
              <w:jc w:val="center"/>
              <w:rPr>
                <w:rFonts w:ascii="宋体" w:hAnsi="宋体"/>
                <w:szCs w:val="21"/>
              </w:rPr>
            </w:pPr>
            <w:proofErr w:type="spellStart"/>
            <w:r>
              <w:rPr>
                <w:rFonts w:ascii="宋体" w:hAnsi="宋体" w:hint="eastAsia"/>
                <w:szCs w:val="21"/>
              </w:rPr>
              <w:t>Shaofeng</w:t>
            </w:r>
            <w:proofErr w:type="spellEnd"/>
            <w:r>
              <w:rPr>
                <w:rFonts w:ascii="宋体" w:hAnsi="宋体" w:hint="eastAsia"/>
                <w:szCs w:val="21"/>
              </w:rPr>
              <w:t xml:space="preserve"> Liu; Tao Qian; </w:t>
            </w:r>
            <w:proofErr w:type="spellStart"/>
            <w:r>
              <w:rPr>
                <w:rFonts w:ascii="宋体" w:hAnsi="宋体" w:hint="eastAsia"/>
                <w:szCs w:val="21"/>
              </w:rPr>
              <w:t>Wangpeng</w:t>
            </w:r>
            <w:proofErr w:type="spellEnd"/>
            <w:r>
              <w:rPr>
                <w:rFonts w:ascii="宋体" w:hAnsi="宋体" w:hint="eastAsia"/>
                <w:szCs w:val="21"/>
              </w:rPr>
              <w:t xml:space="preserve"> Li; </w:t>
            </w:r>
            <w:proofErr w:type="spellStart"/>
            <w:r>
              <w:rPr>
                <w:rFonts w:ascii="宋体" w:hAnsi="宋体" w:hint="eastAsia"/>
                <w:szCs w:val="21"/>
              </w:rPr>
              <w:t>Guoxing</w:t>
            </w:r>
            <w:proofErr w:type="spellEnd"/>
            <w:r>
              <w:rPr>
                <w:rFonts w:ascii="宋体" w:hAnsi="宋体" w:hint="eastAsia"/>
                <w:szCs w:val="21"/>
              </w:rPr>
              <w:t xml:space="preserve"> Dou; Peng Wu</w:t>
            </w:r>
          </w:p>
        </w:tc>
        <w:tc>
          <w:tcPr>
            <w:tcW w:w="656" w:type="dxa"/>
            <w:tcBorders>
              <w:top w:val="single" w:sz="4" w:space="0" w:color="auto"/>
              <w:left w:val="single" w:sz="4" w:space="0" w:color="auto"/>
              <w:bottom w:val="single" w:sz="4" w:space="0" w:color="auto"/>
              <w:right w:val="single" w:sz="4" w:space="0" w:color="auto"/>
            </w:tcBorders>
            <w:vAlign w:val="center"/>
            <w:hideMark/>
          </w:tcPr>
          <w:p w14:paraId="193F92E5" w14:textId="77777777" w:rsidR="00015B3C" w:rsidRDefault="00015B3C" w:rsidP="00AA38FB">
            <w:pPr>
              <w:jc w:val="center"/>
              <w:rPr>
                <w:rFonts w:ascii="宋体" w:hAnsi="宋体"/>
                <w:szCs w:val="21"/>
              </w:rPr>
            </w:pPr>
            <w:r>
              <w:rPr>
                <w:rFonts w:ascii="宋体" w:hAnsi="宋体" w:hint="eastAsia"/>
                <w:szCs w:val="21"/>
              </w:rPr>
              <w:t>2015年34卷413–434页</w:t>
            </w:r>
          </w:p>
        </w:tc>
        <w:tc>
          <w:tcPr>
            <w:tcW w:w="656" w:type="dxa"/>
            <w:tcBorders>
              <w:top w:val="single" w:sz="4" w:space="0" w:color="auto"/>
              <w:left w:val="single" w:sz="4" w:space="0" w:color="auto"/>
              <w:bottom w:val="single" w:sz="4" w:space="0" w:color="auto"/>
              <w:right w:val="single" w:sz="4" w:space="0" w:color="auto"/>
            </w:tcBorders>
            <w:vAlign w:val="center"/>
            <w:hideMark/>
          </w:tcPr>
          <w:p w14:paraId="36F30CF2" w14:textId="77777777" w:rsidR="00015B3C" w:rsidRDefault="00015B3C" w:rsidP="00AA38FB">
            <w:pPr>
              <w:jc w:val="center"/>
              <w:rPr>
                <w:rFonts w:ascii="宋体" w:hAnsi="宋体"/>
                <w:szCs w:val="21"/>
              </w:rPr>
            </w:pPr>
            <w:r>
              <w:rPr>
                <w:rFonts w:ascii="宋体" w:hAnsi="宋体" w:hint="eastAsia"/>
                <w:szCs w:val="21"/>
              </w:rPr>
              <w:t>2015</w:t>
            </w:r>
            <w:r>
              <w:rPr>
                <w:rFonts w:ascii="宋体" w:hAnsi="宋体" w:hint="eastAsia"/>
                <w:szCs w:val="21"/>
              </w:rPr>
              <w:br/>
              <w:t>-03</w:t>
            </w:r>
            <w:r>
              <w:rPr>
                <w:rFonts w:ascii="宋体" w:hAnsi="宋体" w:hint="eastAsia"/>
                <w:szCs w:val="21"/>
              </w:rPr>
              <w:br/>
              <w:t>-12</w:t>
            </w:r>
          </w:p>
        </w:tc>
        <w:tc>
          <w:tcPr>
            <w:tcW w:w="656" w:type="dxa"/>
            <w:tcBorders>
              <w:top w:val="single" w:sz="4" w:space="0" w:color="auto"/>
              <w:left w:val="single" w:sz="4" w:space="0" w:color="auto"/>
              <w:bottom w:val="single" w:sz="4" w:space="0" w:color="auto"/>
              <w:right w:val="single" w:sz="4" w:space="0" w:color="auto"/>
            </w:tcBorders>
            <w:vAlign w:val="center"/>
            <w:hideMark/>
          </w:tcPr>
          <w:p w14:paraId="25446AC5" w14:textId="77777777" w:rsidR="00015B3C" w:rsidRDefault="00015B3C" w:rsidP="00AA38FB">
            <w:pPr>
              <w:jc w:val="center"/>
              <w:rPr>
                <w:rFonts w:ascii="宋体" w:hAnsi="宋体"/>
                <w:szCs w:val="21"/>
              </w:rPr>
            </w:pPr>
            <w:r>
              <w:rPr>
                <w:rFonts w:ascii="宋体" w:hAnsi="宋体" w:hint="eastAsia"/>
                <w:szCs w:val="21"/>
              </w:rPr>
              <w:t>是</w:t>
            </w:r>
          </w:p>
        </w:tc>
        <w:tc>
          <w:tcPr>
            <w:tcW w:w="778" w:type="dxa"/>
            <w:tcBorders>
              <w:top w:val="single" w:sz="4" w:space="0" w:color="auto"/>
              <w:left w:val="single" w:sz="4" w:space="0" w:color="auto"/>
              <w:bottom w:val="single" w:sz="4" w:space="0" w:color="auto"/>
              <w:right w:val="single" w:sz="4" w:space="0" w:color="auto"/>
            </w:tcBorders>
            <w:vAlign w:val="center"/>
            <w:hideMark/>
          </w:tcPr>
          <w:p w14:paraId="4CC0CCA6" w14:textId="77777777" w:rsidR="00015B3C" w:rsidRDefault="00015B3C" w:rsidP="00AA38FB">
            <w:pPr>
              <w:jc w:val="center"/>
              <w:rPr>
                <w:rFonts w:ascii="宋体" w:hAnsi="宋体"/>
                <w:szCs w:val="21"/>
              </w:rPr>
            </w:pPr>
            <w:r>
              <w:rPr>
                <w:rFonts w:ascii="宋体" w:hAnsi="宋体" w:hint="eastAsia"/>
                <w:szCs w:val="21"/>
              </w:rPr>
              <w:t>115</w:t>
            </w:r>
          </w:p>
        </w:tc>
        <w:tc>
          <w:tcPr>
            <w:tcW w:w="696" w:type="dxa"/>
            <w:tcBorders>
              <w:top w:val="single" w:sz="4" w:space="0" w:color="auto"/>
              <w:left w:val="single" w:sz="4" w:space="0" w:color="auto"/>
              <w:bottom w:val="single" w:sz="4" w:space="0" w:color="auto"/>
              <w:right w:val="single" w:sz="4" w:space="0" w:color="auto"/>
            </w:tcBorders>
            <w:vAlign w:val="center"/>
            <w:hideMark/>
          </w:tcPr>
          <w:p w14:paraId="1B77E847" w14:textId="77777777" w:rsidR="00015B3C" w:rsidRDefault="00015B3C" w:rsidP="00AA38FB">
            <w:pPr>
              <w:jc w:val="center"/>
              <w:rPr>
                <w:rFonts w:ascii="宋体" w:hAnsi="宋体"/>
                <w:szCs w:val="21"/>
              </w:rPr>
            </w:pPr>
            <w:r>
              <w:rPr>
                <w:rFonts w:ascii="宋体" w:hAnsi="宋体" w:hint="eastAsia"/>
                <w:szCs w:val="21"/>
              </w:rPr>
              <w:t>168</w:t>
            </w:r>
          </w:p>
        </w:tc>
      </w:tr>
      <w:tr w:rsidR="00015B3C" w14:paraId="4C7C947A" w14:textId="77777777" w:rsidTr="00AA38FB">
        <w:trPr>
          <w:trHeight w:val="569"/>
          <w:jc w:val="center"/>
        </w:trPr>
        <w:tc>
          <w:tcPr>
            <w:tcW w:w="574" w:type="dxa"/>
            <w:tcBorders>
              <w:top w:val="single" w:sz="4" w:space="0" w:color="auto"/>
              <w:left w:val="single" w:sz="4" w:space="0" w:color="auto"/>
              <w:bottom w:val="single" w:sz="4" w:space="0" w:color="auto"/>
              <w:right w:val="single" w:sz="4" w:space="0" w:color="auto"/>
            </w:tcBorders>
            <w:vAlign w:val="center"/>
            <w:hideMark/>
          </w:tcPr>
          <w:p w14:paraId="1D301A78" w14:textId="77777777" w:rsidR="00015B3C" w:rsidRDefault="00015B3C" w:rsidP="00AA38FB">
            <w:pPr>
              <w:jc w:val="center"/>
              <w:rPr>
                <w:rFonts w:ascii="宋体" w:hAnsi="宋体"/>
                <w:szCs w:val="21"/>
              </w:rPr>
            </w:pPr>
            <w:r>
              <w:rPr>
                <w:rFonts w:ascii="宋体" w:hAnsi="宋体" w:hint="eastAsia"/>
                <w:szCs w:val="21"/>
              </w:rPr>
              <w:t>7</w:t>
            </w:r>
          </w:p>
        </w:tc>
        <w:tc>
          <w:tcPr>
            <w:tcW w:w="737" w:type="dxa"/>
            <w:tcBorders>
              <w:top w:val="single" w:sz="4" w:space="0" w:color="auto"/>
              <w:left w:val="single" w:sz="4" w:space="0" w:color="auto"/>
              <w:bottom w:val="single" w:sz="4" w:space="0" w:color="auto"/>
              <w:right w:val="single" w:sz="4" w:space="0" w:color="auto"/>
            </w:tcBorders>
            <w:vAlign w:val="center"/>
            <w:hideMark/>
          </w:tcPr>
          <w:p w14:paraId="59742364" w14:textId="77777777" w:rsidR="00015B3C" w:rsidRDefault="00015B3C" w:rsidP="00AA38FB">
            <w:pPr>
              <w:jc w:val="center"/>
              <w:rPr>
                <w:rFonts w:ascii="宋体" w:hAnsi="宋体"/>
                <w:szCs w:val="21"/>
              </w:rPr>
            </w:pPr>
            <w:r>
              <w:rPr>
                <w:rFonts w:ascii="宋体" w:hAnsi="宋体" w:hint="eastAsia"/>
                <w:szCs w:val="21"/>
              </w:rPr>
              <w:t xml:space="preserve">Early Mesozoic basin development in North China: Indications of </w:t>
            </w:r>
            <w:proofErr w:type="spellStart"/>
            <w:r>
              <w:rPr>
                <w:rFonts w:ascii="宋体" w:hAnsi="宋体" w:hint="eastAsia"/>
                <w:szCs w:val="21"/>
              </w:rPr>
              <w:t>cratonic</w:t>
            </w:r>
            <w:proofErr w:type="spellEnd"/>
            <w:r>
              <w:rPr>
                <w:rFonts w:ascii="宋体" w:hAnsi="宋体" w:hint="eastAsia"/>
                <w:szCs w:val="21"/>
              </w:rPr>
              <w:t xml:space="preserve"> deformation</w:t>
            </w:r>
          </w:p>
        </w:tc>
        <w:tc>
          <w:tcPr>
            <w:tcW w:w="778" w:type="dxa"/>
            <w:tcBorders>
              <w:top w:val="single" w:sz="4" w:space="0" w:color="auto"/>
              <w:left w:val="single" w:sz="4" w:space="0" w:color="auto"/>
              <w:bottom w:val="single" w:sz="4" w:space="0" w:color="auto"/>
              <w:right w:val="single" w:sz="4" w:space="0" w:color="auto"/>
            </w:tcBorders>
            <w:vAlign w:val="center"/>
            <w:hideMark/>
          </w:tcPr>
          <w:p w14:paraId="577E9D33" w14:textId="77777777" w:rsidR="00015B3C" w:rsidRDefault="00015B3C" w:rsidP="00AA38FB">
            <w:pPr>
              <w:jc w:val="center"/>
              <w:rPr>
                <w:rFonts w:ascii="宋体" w:hAnsi="宋体"/>
                <w:szCs w:val="21"/>
              </w:rPr>
            </w:pPr>
            <w:r>
              <w:rPr>
                <w:rFonts w:ascii="宋体" w:hAnsi="宋体" w:hint="eastAsia"/>
                <w:szCs w:val="21"/>
              </w:rPr>
              <w:t>Journal of Asian Earth Sciences</w:t>
            </w:r>
          </w:p>
        </w:tc>
        <w:tc>
          <w:tcPr>
            <w:tcW w:w="696" w:type="dxa"/>
            <w:tcBorders>
              <w:top w:val="single" w:sz="4" w:space="0" w:color="auto"/>
              <w:left w:val="single" w:sz="4" w:space="0" w:color="auto"/>
              <w:bottom w:val="single" w:sz="4" w:space="0" w:color="auto"/>
              <w:right w:val="single" w:sz="4" w:space="0" w:color="auto"/>
            </w:tcBorders>
            <w:vAlign w:val="center"/>
            <w:hideMark/>
          </w:tcPr>
          <w:p w14:paraId="2F61A09E" w14:textId="77777777" w:rsidR="00015B3C" w:rsidRDefault="00015B3C" w:rsidP="00AA38FB">
            <w:pPr>
              <w:jc w:val="center"/>
              <w:rPr>
                <w:rFonts w:ascii="宋体" w:hAnsi="宋体"/>
                <w:szCs w:val="21"/>
              </w:rPr>
            </w:pPr>
            <w:proofErr w:type="spellStart"/>
            <w:r>
              <w:rPr>
                <w:rFonts w:ascii="宋体" w:hAnsi="宋体" w:hint="eastAsia"/>
                <w:szCs w:val="21"/>
              </w:rPr>
              <w:t>Shaofeng</w:t>
            </w:r>
            <w:proofErr w:type="spellEnd"/>
            <w:r>
              <w:rPr>
                <w:rFonts w:ascii="宋体" w:hAnsi="宋体" w:hint="eastAsia"/>
                <w:szCs w:val="21"/>
              </w:rPr>
              <w:t xml:space="preserve"> Liu; San </w:t>
            </w:r>
            <w:proofErr w:type="spellStart"/>
            <w:r>
              <w:rPr>
                <w:rFonts w:ascii="宋体" w:hAnsi="宋体" w:hint="eastAsia"/>
                <w:szCs w:val="21"/>
              </w:rPr>
              <w:t>Su</w:t>
            </w:r>
            <w:proofErr w:type="spellEnd"/>
            <w:r>
              <w:rPr>
                <w:rFonts w:ascii="宋体" w:hAnsi="宋体" w:hint="eastAsia"/>
                <w:szCs w:val="21"/>
              </w:rPr>
              <w:t xml:space="preserve">; </w:t>
            </w:r>
            <w:proofErr w:type="spellStart"/>
            <w:r>
              <w:rPr>
                <w:rFonts w:ascii="宋体" w:hAnsi="宋体" w:hint="eastAsia"/>
                <w:szCs w:val="21"/>
              </w:rPr>
              <w:t>Guowei</w:t>
            </w:r>
            <w:proofErr w:type="spellEnd"/>
            <w:r>
              <w:rPr>
                <w:rFonts w:ascii="宋体" w:hAnsi="宋体" w:hint="eastAsia"/>
                <w:szCs w:val="21"/>
              </w:rPr>
              <w:t xml:space="preserve"> Zhang</w:t>
            </w:r>
          </w:p>
        </w:tc>
        <w:tc>
          <w:tcPr>
            <w:tcW w:w="656" w:type="dxa"/>
            <w:tcBorders>
              <w:top w:val="single" w:sz="4" w:space="0" w:color="auto"/>
              <w:left w:val="single" w:sz="4" w:space="0" w:color="auto"/>
              <w:bottom w:val="single" w:sz="4" w:space="0" w:color="auto"/>
              <w:right w:val="single" w:sz="4" w:space="0" w:color="auto"/>
            </w:tcBorders>
            <w:vAlign w:val="center"/>
            <w:hideMark/>
          </w:tcPr>
          <w:p w14:paraId="4F5BA73D" w14:textId="77777777" w:rsidR="00015B3C" w:rsidRDefault="00015B3C" w:rsidP="00AA38FB">
            <w:pPr>
              <w:jc w:val="center"/>
              <w:rPr>
                <w:rFonts w:ascii="宋体" w:hAnsi="宋体"/>
                <w:szCs w:val="21"/>
              </w:rPr>
            </w:pPr>
            <w:r>
              <w:rPr>
                <w:rFonts w:ascii="宋体" w:hAnsi="宋体" w:hint="eastAsia"/>
                <w:szCs w:val="21"/>
              </w:rPr>
              <w:t>2013年62卷221–236页</w:t>
            </w:r>
          </w:p>
        </w:tc>
        <w:tc>
          <w:tcPr>
            <w:tcW w:w="656" w:type="dxa"/>
            <w:tcBorders>
              <w:top w:val="single" w:sz="4" w:space="0" w:color="auto"/>
              <w:left w:val="single" w:sz="4" w:space="0" w:color="auto"/>
              <w:bottom w:val="single" w:sz="4" w:space="0" w:color="auto"/>
              <w:right w:val="single" w:sz="4" w:space="0" w:color="auto"/>
            </w:tcBorders>
            <w:vAlign w:val="center"/>
            <w:hideMark/>
          </w:tcPr>
          <w:p w14:paraId="0A2BA0D6" w14:textId="77777777" w:rsidR="00015B3C" w:rsidRDefault="00015B3C" w:rsidP="00AA38FB">
            <w:pPr>
              <w:jc w:val="center"/>
              <w:rPr>
                <w:rFonts w:ascii="宋体" w:hAnsi="宋体"/>
                <w:szCs w:val="21"/>
              </w:rPr>
            </w:pPr>
            <w:r>
              <w:rPr>
                <w:rFonts w:ascii="宋体" w:hAnsi="宋体" w:hint="eastAsia"/>
                <w:szCs w:val="21"/>
              </w:rPr>
              <w:t>2012</w:t>
            </w:r>
            <w:r>
              <w:rPr>
                <w:rFonts w:ascii="宋体" w:hAnsi="宋体" w:hint="eastAsia"/>
                <w:szCs w:val="21"/>
              </w:rPr>
              <w:br/>
              <w:t>-10</w:t>
            </w:r>
            <w:r>
              <w:rPr>
                <w:rFonts w:ascii="宋体" w:hAnsi="宋体" w:hint="eastAsia"/>
                <w:szCs w:val="21"/>
              </w:rPr>
              <w:br/>
              <w:t>-02</w:t>
            </w:r>
          </w:p>
        </w:tc>
        <w:tc>
          <w:tcPr>
            <w:tcW w:w="656" w:type="dxa"/>
            <w:tcBorders>
              <w:top w:val="single" w:sz="4" w:space="0" w:color="auto"/>
              <w:left w:val="single" w:sz="4" w:space="0" w:color="auto"/>
              <w:bottom w:val="single" w:sz="4" w:space="0" w:color="auto"/>
              <w:right w:val="single" w:sz="4" w:space="0" w:color="auto"/>
            </w:tcBorders>
            <w:vAlign w:val="center"/>
            <w:hideMark/>
          </w:tcPr>
          <w:p w14:paraId="46C5E4C5" w14:textId="77777777" w:rsidR="00015B3C" w:rsidRDefault="00015B3C" w:rsidP="00AA38FB">
            <w:pPr>
              <w:jc w:val="center"/>
              <w:rPr>
                <w:rFonts w:ascii="宋体" w:hAnsi="宋体"/>
                <w:szCs w:val="21"/>
              </w:rPr>
            </w:pPr>
            <w:r>
              <w:rPr>
                <w:rFonts w:ascii="宋体" w:hAnsi="宋体" w:hint="eastAsia"/>
                <w:szCs w:val="21"/>
              </w:rPr>
              <w:t>是</w:t>
            </w:r>
          </w:p>
        </w:tc>
        <w:tc>
          <w:tcPr>
            <w:tcW w:w="778" w:type="dxa"/>
            <w:tcBorders>
              <w:top w:val="single" w:sz="4" w:space="0" w:color="auto"/>
              <w:left w:val="single" w:sz="4" w:space="0" w:color="auto"/>
              <w:bottom w:val="single" w:sz="4" w:space="0" w:color="auto"/>
              <w:right w:val="single" w:sz="4" w:space="0" w:color="auto"/>
            </w:tcBorders>
            <w:vAlign w:val="center"/>
            <w:hideMark/>
          </w:tcPr>
          <w:p w14:paraId="30E627CB" w14:textId="77777777" w:rsidR="00015B3C" w:rsidRDefault="00015B3C" w:rsidP="00AA38FB">
            <w:pPr>
              <w:jc w:val="center"/>
              <w:rPr>
                <w:rFonts w:ascii="宋体" w:hAnsi="宋体"/>
                <w:szCs w:val="21"/>
              </w:rPr>
            </w:pPr>
            <w:r>
              <w:rPr>
                <w:rFonts w:ascii="宋体" w:hAnsi="宋体" w:hint="eastAsia"/>
                <w:szCs w:val="21"/>
              </w:rPr>
              <w:t>179</w:t>
            </w:r>
          </w:p>
        </w:tc>
        <w:tc>
          <w:tcPr>
            <w:tcW w:w="696" w:type="dxa"/>
            <w:tcBorders>
              <w:top w:val="single" w:sz="4" w:space="0" w:color="auto"/>
              <w:left w:val="single" w:sz="4" w:space="0" w:color="auto"/>
              <w:bottom w:val="single" w:sz="4" w:space="0" w:color="auto"/>
              <w:right w:val="single" w:sz="4" w:space="0" w:color="auto"/>
            </w:tcBorders>
            <w:vAlign w:val="center"/>
            <w:hideMark/>
          </w:tcPr>
          <w:p w14:paraId="08916281" w14:textId="77777777" w:rsidR="00015B3C" w:rsidRDefault="00015B3C" w:rsidP="00AA38FB">
            <w:pPr>
              <w:jc w:val="center"/>
              <w:rPr>
                <w:rFonts w:ascii="宋体" w:hAnsi="宋体"/>
                <w:szCs w:val="21"/>
              </w:rPr>
            </w:pPr>
            <w:r>
              <w:rPr>
                <w:rFonts w:ascii="宋体" w:hAnsi="宋体" w:hint="eastAsia"/>
                <w:szCs w:val="21"/>
              </w:rPr>
              <w:t>284</w:t>
            </w:r>
          </w:p>
        </w:tc>
      </w:tr>
      <w:tr w:rsidR="00015B3C" w14:paraId="4A6CE320" w14:textId="77777777" w:rsidTr="00AA38FB">
        <w:trPr>
          <w:trHeight w:val="569"/>
          <w:jc w:val="center"/>
        </w:trPr>
        <w:tc>
          <w:tcPr>
            <w:tcW w:w="574" w:type="dxa"/>
            <w:tcBorders>
              <w:top w:val="single" w:sz="4" w:space="0" w:color="auto"/>
              <w:left w:val="single" w:sz="4" w:space="0" w:color="auto"/>
              <w:bottom w:val="single" w:sz="4" w:space="0" w:color="auto"/>
              <w:right w:val="single" w:sz="4" w:space="0" w:color="auto"/>
            </w:tcBorders>
            <w:vAlign w:val="center"/>
            <w:hideMark/>
          </w:tcPr>
          <w:p w14:paraId="6258ED33" w14:textId="77777777" w:rsidR="00015B3C" w:rsidRDefault="00015B3C" w:rsidP="00AA38FB">
            <w:pPr>
              <w:jc w:val="center"/>
              <w:rPr>
                <w:rFonts w:ascii="宋体" w:hAnsi="宋体"/>
                <w:szCs w:val="21"/>
              </w:rPr>
            </w:pPr>
            <w:r>
              <w:rPr>
                <w:rFonts w:ascii="宋体" w:hAnsi="宋体" w:hint="eastAsia"/>
                <w:szCs w:val="21"/>
              </w:rPr>
              <w:t>8</w:t>
            </w:r>
          </w:p>
        </w:tc>
        <w:tc>
          <w:tcPr>
            <w:tcW w:w="737" w:type="dxa"/>
            <w:tcBorders>
              <w:top w:val="single" w:sz="4" w:space="0" w:color="auto"/>
              <w:left w:val="single" w:sz="4" w:space="0" w:color="auto"/>
              <w:bottom w:val="single" w:sz="4" w:space="0" w:color="auto"/>
              <w:right w:val="single" w:sz="4" w:space="0" w:color="auto"/>
            </w:tcBorders>
            <w:vAlign w:val="center"/>
            <w:hideMark/>
          </w:tcPr>
          <w:p w14:paraId="0890B86A" w14:textId="77777777" w:rsidR="00015B3C" w:rsidRDefault="00015B3C" w:rsidP="00AA38FB">
            <w:pPr>
              <w:jc w:val="center"/>
              <w:rPr>
                <w:rFonts w:ascii="宋体" w:hAnsi="宋体"/>
                <w:szCs w:val="21"/>
              </w:rPr>
            </w:pPr>
            <w:r>
              <w:rPr>
                <w:rFonts w:ascii="宋体" w:hAnsi="宋体" w:hint="eastAsia"/>
                <w:szCs w:val="21"/>
              </w:rPr>
              <w:t>Syn-tectonic sedimentation and its linkage to fold-thrusting in the region of Zhangjiakou, North Hebei, China</w:t>
            </w:r>
          </w:p>
        </w:tc>
        <w:tc>
          <w:tcPr>
            <w:tcW w:w="778" w:type="dxa"/>
            <w:tcBorders>
              <w:top w:val="single" w:sz="4" w:space="0" w:color="auto"/>
              <w:left w:val="single" w:sz="4" w:space="0" w:color="auto"/>
              <w:bottom w:val="single" w:sz="4" w:space="0" w:color="auto"/>
              <w:right w:val="single" w:sz="4" w:space="0" w:color="auto"/>
            </w:tcBorders>
            <w:vAlign w:val="center"/>
            <w:hideMark/>
          </w:tcPr>
          <w:p w14:paraId="32FF69CA" w14:textId="77777777" w:rsidR="00015B3C" w:rsidRDefault="00015B3C" w:rsidP="00AA38FB">
            <w:pPr>
              <w:jc w:val="center"/>
              <w:rPr>
                <w:rFonts w:ascii="宋体" w:hAnsi="宋体"/>
                <w:szCs w:val="21"/>
              </w:rPr>
            </w:pPr>
            <w:r>
              <w:rPr>
                <w:rFonts w:ascii="宋体" w:hAnsi="宋体" w:hint="eastAsia"/>
                <w:szCs w:val="21"/>
              </w:rPr>
              <w:t>Science China Earth Sciences</w:t>
            </w:r>
          </w:p>
        </w:tc>
        <w:tc>
          <w:tcPr>
            <w:tcW w:w="696" w:type="dxa"/>
            <w:tcBorders>
              <w:top w:val="single" w:sz="4" w:space="0" w:color="auto"/>
              <w:left w:val="single" w:sz="4" w:space="0" w:color="auto"/>
              <w:bottom w:val="single" w:sz="4" w:space="0" w:color="auto"/>
              <w:right w:val="single" w:sz="4" w:space="0" w:color="auto"/>
            </w:tcBorders>
            <w:vAlign w:val="center"/>
            <w:hideMark/>
          </w:tcPr>
          <w:p w14:paraId="0B8A3577" w14:textId="77777777" w:rsidR="00015B3C" w:rsidRDefault="00015B3C" w:rsidP="00AA38FB">
            <w:pPr>
              <w:jc w:val="center"/>
              <w:rPr>
                <w:rFonts w:ascii="宋体" w:hAnsi="宋体"/>
                <w:szCs w:val="21"/>
              </w:rPr>
            </w:pPr>
            <w:proofErr w:type="spellStart"/>
            <w:r>
              <w:rPr>
                <w:rFonts w:ascii="宋体" w:hAnsi="宋体" w:hint="eastAsia"/>
                <w:szCs w:val="21"/>
              </w:rPr>
              <w:t>Shaofeng</w:t>
            </w:r>
            <w:proofErr w:type="spellEnd"/>
            <w:r>
              <w:rPr>
                <w:rFonts w:ascii="宋体" w:hAnsi="宋体" w:hint="eastAsia"/>
                <w:szCs w:val="21"/>
              </w:rPr>
              <w:t xml:space="preserve"> Liu; </w:t>
            </w:r>
            <w:proofErr w:type="spellStart"/>
            <w:r>
              <w:rPr>
                <w:rFonts w:ascii="宋体" w:hAnsi="宋体" w:hint="eastAsia"/>
                <w:szCs w:val="21"/>
              </w:rPr>
              <w:t>Chengfa</w:t>
            </w:r>
            <w:proofErr w:type="spellEnd"/>
            <w:r>
              <w:rPr>
                <w:rFonts w:ascii="宋体" w:hAnsi="宋体" w:hint="eastAsia"/>
                <w:szCs w:val="21"/>
              </w:rPr>
              <w:t xml:space="preserve"> Lin; Xiaobo Liu; </w:t>
            </w:r>
            <w:proofErr w:type="spellStart"/>
            <w:r>
              <w:rPr>
                <w:rFonts w:ascii="宋体" w:hAnsi="宋体" w:hint="eastAsia"/>
                <w:szCs w:val="21"/>
              </w:rPr>
              <w:t>Qitian</w:t>
            </w:r>
            <w:proofErr w:type="spellEnd"/>
            <w:r>
              <w:rPr>
                <w:rFonts w:ascii="宋体" w:hAnsi="宋体" w:hint="eastAsia"/>
                <w:szCs w:val="21"/>
              </w:rPr>
              <w:t xml:space="preserve"> Zhuang</w:t>
            </w:r>
          </w:p>
        </w:tc>
        <w:tc>
          <w:tcPr>
            <w:tcW w:w="656" w:type="dxa"/>
            <w:tcBorders>
              <w:top w:val="single" w:sz="4" w:space="0" w:color="auto"/>
              <w:left w:val="single" w:sz="4" w:space="0" w:color="auto"/>
              <w:bottom w:val="single" w:sz="4" w:space="0" w:color="auto"/>
              <w:right w:val="single" w:sz="4" w:space="0" w:color="auto"/>
            </w:tcBorders>
            <w:vAlign w:val="center"/>
            <w:hideMark/>
          </w:tcPr>
          <w:p w14:paraId="5031C9DB" w14:textId="77777777" w:rsidR="00015B3C" w:rsidRDefault="00015B3C" w:rsidP="00AA38FB">
            <w:pPr>
              <w:jc w:val="center"/>
              <w:rPr>
                <w:rFonts w:ascii="宋体" w:hAnsi="宋体"/>
                <w:szCs w:val="21"/>
              </w:rPr>
            </w:pPr>
            <w:r>
              <w:rPr>
                <w:rFonts w:ascii="宋体" w:hAnsi="宋体" w:hint="eastAsia"/>
                <w:szCs w:val="21"/>
              </w:rPr>
              <w:t>2018年61卷681–710页</w:t>
            </w:r>
          </w:p>
        </w:tc>
        <w:tc>
          <w:tcPr>
            <w:tcW w:w="656" w:type="dxa"/>
            <w:tcBorders>
              <w:top w:val="single" w:sz="4" w:space="0" w:color="auto"/>
              <w:left w:val="single" w:sz="4" w:space="0" w:color="auto"/>
              <w:bottom w:val="single" w:sz="4" w:space="0" w:color="auto"/>
              <w:right w:val="single" w:sz="4" w:space="0" w:color="auto"/>
            </w:tcBorders>
            <w:vAlign w:val="center"/>
            <w:hideMark/>
          </w:tcPr>
          <w:p w14:paraId="2119B62B" w14:textId="77777777" w:rsidR="00015B3C" w:rsidRDefault="00015B3C" w:rsidP="00AA38FB">
            <w:pPr>
              <w:jc w:val="center"/>
              <w:rPr>
                <w:rFonts w:ascii="宋体" w:hAnsi="宋体"/>
                <w:szCs w:val="21"/>
              </w:rPr>
            </w:pPr>
            <w:r>
              <w:rPr>
                <w:rFonts w:ascii="宋体" w:hAnsi="宋体" w:hint="eastAsia"/>
                <w:szCs w:val="21"/>
              </w:rPr>
              <w:t>2018</w:t>
            </w:r>
            <w:r>
              <w:rPr>
                <w:rFonts w:ascii="宋体" w:hAnsi="宋体" w:hint="eastAsia"/>
                <w:szCs w:val="21"/>
              </w:rPr>
              <w:br/>
              <w:t>-04</w:t>
            </w:r>
            <w:r>
              <w:rPr>
                <w:rFonts w:ascii="宋体" w:hAnsi="宋体" w:hint="eastAsia"/>
                <w:szCs w:val="21"/>
              </w:rPr>
              <w:br/>
              <w:t>-13</w:t>
            </w:r>
          </w:p>
        </w:tc>
        <w:tc>
          <w:tcPr>
            <w:tcW w:w="656" w:type="dxa"/>
            <w:tcBorders>
              <w:top w:val="single" w:sz="4" w:space="0" w:color="auto"/>
              <w:left w:val="single" w:sz="4" w:space="0" w:color="auto"/>
              <w:bottom w:val="single" w:sz="4" w:space="0" w:color="auto"/>
              <w:right w:val="single" w:sz="4" w:space="0" w:color="auto"/>
            </w:tcBorders>
            <w:vAlign w:val="center"/>
            <w:hideMark/>
          </w:tcPr>
          <w:p w14:paraId="726E60C4" w14:textId="77777777" w:rsidR="00015B3C" w:rsidRDefault="00015B3C" w:rsidP="00AA38FB">
            <w:pPr>
              <w:jc w:val="center"/>
              <w:rPr>
                <w:rFonts w:ascii="宋体" w:hAnsi="宋体"/>
                <w:szCs w:val="21"/>
              </w:rPr>
            </w:pPr>
            <w:r>
              <w:rPr>
                <w:rFonts w:ascii="宋体" w:hAnsi="宋体" w:hint="eastAsia"/>
                <w:szCs w:val="21"/>
              </w:rPr>
              <w:t>是</w:t>
            </w:r>
          </w:p>
        </w:tc>
        <w:tc>
          <w:tcPr>
            <w:tcW w:w="778" w:type="dxa"/>
            <w:tcBorders>
              <w:top w:val="single" w:sz="4" w:space="0" w:color="auto"/>
              <w:left w:val="single" w:sz="4" w:space="0" w:color="auto"/>
              <w:bottom w:val="single" w:sz="4" w:space="0" w:color="auto"/>
              <w:right w:val="single" w:sz="4" w:space="0" w:color="auto"/>
            </w:tcBorders>
            <w:vAlign w:val="center"/>
            <w:hideMark/>
          </w:tcPr>
          <w:p w14:paraId="0F83348B" w14:textId="77777777" w:rsidR="00015B3C" w:rsidRDefault="00015B3C" w:rsidP="00AA38FB">
            <w:pPr>
              <w:jc w:val="center"/>
              <w:rPr>
                <w:rFonts w:ascii="宋体" w:hAnsi="宋体"/>
                <w:szCs w:val="21"/>
              </w:rPr>
            </w:pPr>
            <w:r>
              <w:rPr>
                <w:rFonts w:ascii="宋体" w:hAnsi="宋体" w:hint="eastAsia"/>
                <w:szCs w:val="21"/>
              </w:rPr>
              <w:t>44</w:t>
            </w:r>
          </w:p>
        </w:tc>
        <w:tc>
          <w:tcPr>
            <w:tcW w:w="696" w:type="dxa"/>
            <w:tcBorders>
              <w:top w:val="single" w:sz="4" w:space="0" w:color="auto"/>
              <w:left w:val="single" w:sz="4" w:space="0" w:color="auto"/>
              <w:bottom w:val="single" w:sz="4" w:space="0" w:color="auto"/>
              <w:right w:val="single" w:sz="4" w:space="0" w:color="auto"/>
            </w:tcBorders>
            <w:vAlign w:val="center"/>
            <w:hideMark/>
          </w:tcPr>
          <w:p w14:paraId="37837D5B" w14:textId="77777777" w:rsidR="00015B3C" w:rsidRDefault="00015B3C" w:rsidP="00AA38FB">
            <w:pPr>
              <w:jc w:val="center"/>
              <w:rPr>
                <w:rFonts w:ascii="宋体" w:hAnsi="宋体"/>
                <w:szCs w:val="21"/>
              </w:rPr>
            </w:pPr>
            <w:r>
              <w:rPr>
                <w:rFonts w:ascii="宋体" w:hAnsi="宋体" w:hint="eastAsia"/>
                <w:szCs w:val="21"/>
              </w:rPr>
              <w:t>54</w:t>
            </w:r>
          </w:p>
        </w:tc>
      </w:tr>
    </w:tbl>
    <w:p w14:paraId="4E521F03" w14:textId="77777777" w:rsidR="00015B3C" w:rsidRDefault="00015B3C" w:rsidP="00015B3C">
      <w:pPr>
        <w:rPr>
          <w:rStyle w:val="af4"/>
          <w:rFonts w:cs="Calibri"/>
          <w:szCs w:val="21"/>
        </w:rPr>
      </w:pPr>
    </w:p>
    <w:p w14:paraId="7D2F4779" w14:textId="594AA1BC" w:rsidR="00015B3C" w:rsidRDefault="00015B3C" w:rsidP="00015B3C">
      <w:pPr>
        <w:spacing w:line="360" w:lineRule="auto"/>
        <w:rPr>
          <w:rStyle w:val="af4"/>
          <w:rFonts w:cs="Calibri"/>
          <w:szCs w:val="21"/>
        </w:rPr>
      </w:pPr>
      <w:r>
        <w:rPr>
          <w:rStyle w:val="af4"/>
          <w:rFonts w:cs="Calibri"/>
          <w:szCs w:val="21"/>
        </w:rPr>
        <w:t xml:space="preserve"> </w:t>
      </w:r>
    </w:p>
    <w:p w14:paraId="23438AD0" w14:textId="1197799F" w:rsidR="00015B3C" w:rsidRDefault="00015B3C" w:rsidP="00015B3C"/>
    <w:sectPr w:rsidR="00015B3C">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521610" w14:textId="77777777" w:rsidR="00994330" w:rsidRDefault="00994330" w:rsidP="00872D15">
      <w:r>
        <w:separator/>
      </w:r>
    </w:p>
  </w:endnote>
  <w:endnote w:type="continuationSeparator" w:id="0">
    <w:p w14:paraId="6064F0BA" w14:textId="77777777" w:rsidR="00994330" w:rsidRDefault="00994330" w:rsidP="00872D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仿宋_GB2312">
    <w:altName w:val="仿宋"/>
    <w:panose1 w:val="02010609030101010101"/>
    <w:charset w:val="86"/>
    <w:family w:val="modern"/>
    <w:pitch w:val="fixed"/>
    <w:sig w:usb0="00000001" w:usb1="080E0000" w:usb2="00000010" w:usb3="00000000" w:csb0="00040000" w:csb1="00000000"/>
  </w:font>
  <w:font w:name="Courier New">
    <w:panose1 w:val="02070309020205020404"/>
    <w:charset w:val="00"/>
    <w:family w:val="modern"/>
    <w:pitch w:val="fixed"/>
    <w:sig w:usb0="E0002E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E00344" w14:textId="77777777" w:rsidR="00994330" w:rsidRDefault="00994330" w:rsidP="00872D15">
      <w:r>
        <w:separator/>
      </w:r>
    </w:p>
  </w:footnote>
  <w:footnote w:type="continuationSeparator" w:id="0">
    <w:p w14:paraId="46ADFC50" w14:textId="77777777" w:rsidR="00994330" w:rsidRDefault="00994330" w:rsidP="00872D15">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22A0"/>
    <w:rsid w:val="00014683"/>
    <w:rsid w:val="00015B3C"/>
    <w:rsid w:val="00124E3F"/>
    <w:rsid w:val="002F073E"/>
    <w:rsid w:val="00300048"/>
    <w:rsid w:val="004203F3"/>
    <w:rsid w:val="004662F8"/>
    <w:rsid w:val="00487C8D"/>
    <w:rsid w:val="00557BCF"/>
    <w:rsid w:val="006579E7"/>
    <w:rsid w:val="006C20FA"/>
    <w:rsid w:val="00872D15"/>
    <w:rsid w:val="008C3355"/>
    <w:rsid w:val="00994330"/>
    <w:rsid w:val="00A032D9"/>
    <w:rsid w:val="00A64852"/>
    <w:rsid w:val="00A861A8"/>
    <w:rsid w:val="00AB0E72"/>
    <w:rsid w:val="00AD0AAD"/>
    <w:rsid w:val="00C14132"/>
    <w:rsid w:val="00DD451F"/>
    <w:rsid w:val="00DE1606"/>
    <w:rsid w:val="00E27872"/>
    <w:rsid w:val="00EC6C14"/>
    <w:rsid w:val="00FF22A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25BCEDD"/>
  <w15:chartTrackingRefBased/>
  <w15:docId w15:val="{84F76096-1917-4837-B720-AD06E9ADEB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72D15"/>
    <w:pPr>
      <w:widowControl w:val="0"/>
      <w:jc w:val="both"/>
    </w:pPr>
    <w:rPr>
      <w:rFonts w:ascii="Calibri" w:eastAsia="宋体" w:hAnsi="Calibri" w:cs="Times New Roman"/>
    </w:rPr>
  </w:style>
  <w:style w:type="paragraph" w:styleId="1">
    <w:name w:val="heading 1"/>
    <w:basedOn w:val="a"/>
    <w:next w:val="a"/>
    <w:link w:val="10"/>
    <w:uiPriority w:val="9"/>
    <w:qFormat/>
    <w:rsid w:val="00FF22A0"/>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FF22A0"/>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FF22A0"/>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FF22A0"/>
    <w:pPr>
      <w:keepNext/>
      <w:keepLines/>
      <w:spacing w:before="80" w:after="40"/>
      <w:outlineLvl w:val="3"/>
    </w:pPr>
    <w:rPr>
      <w:rFonts w:asciiTheme="minorHAnsi" w:eastAsiaTheme="minorEastAsia" w:hAnsiTheme="minorHAnsi" w:cstheme="majorBidi"/>
      <w:color w:val="2F5496" w:themeColor="accent1" w:themeShade="BF"/>
      <w:sz w:val="28"/>
      <w:szCs w:val="28"/>
    </w:rPr>
  </w:style>
  <w:style w:type="paragraph" w:styleId="5">
    <w:name w:val="heading 5"/>
    <w:basedOn w:val="a"/>
    <w:next w:val="a"/>
    <w:link w:val="50"/>
    <w:uiPriority w:val="9"/>
    <w:semiHidden/>
    <w:unhideWhenUsed/>
    <w:qFormat/>
    <w:rsid w:val="00FF22A0"/>
    <w:pPr>
      <w:keepNext/>
      <w:keepLines/>
      <w:spacing w:before="80" w:after="40"/>
      <w:outlineLvl w:val="4"/>
    </w:pPr>
    <w:rPr>
      <w:rFonts w:asciiTheme="minorHAnsi" w:eastAsiaTheme="minorEastAsia" w:hAnsiTheme="minorHAnsi" w:cstheme="majorBidi"/>
      <w:color w:val="2F5496" w:themeColor="accent1" w:themeShade="BF"/>
      <w:sz w:val="24"/>
      <w:szCs w:val="24"/>
    </w:rPr>
  </w:style>
  <w:style w:type="paragraph" w:styleId="6">
    <w:name w:val="heading 6"/>
    <w:basedOn w:val="a"/>
    <w:next w:val="a"/>
    <w:link w:val="60"/>
    <w:uiPriority w:val="9"/>
    <w:semiHidden/>
    <w:unhideWhenUsed/>
    <w:qFormat/>
    <w:rsid w:val="00FF22A0"/>
    <w:pPr>
      <w:keepNext/>
      <w:keepLines/>
      <w:spacing w:before="40"/>
      <w:outlineLvl w:val="5"/>
    </w:pPr>
    <w:rPr>
      <w:rFonts w:asciiTheme="minorHAnsi" w:eastAsiaTheme="minorEastAsia" w:hAnsiTheme="minorHAnsi" w:cstheme="majorBidi"/>
      <w:b/>
      <w:bCs/>
      <w:color w:val="2F5496" w:themeColor="accent1" w:themeShade="BF"/>
    </w:rPr>
  </w:style>
  <w:style w:type="paragraph" w:styleId="7">
    <w:name w:val="heading 7"/>
    <w:basedOn w:val="a"/>
    <w:next w:val="a"/>
    <w:link w:val="70"/>
    <w:uiPriority w:val="9"/>
    <w:semiHidden/>
    <w:unhideWhenUsed/>
    <w:qFormat/>
    <w:rsid w:val="00FF22A0"/>
    <w:pPr>
      <w:keepNext/>
      <w:keepLines/>
      <w:spacing w:before="40"/>
      <w:outlineLvl w:val="6"/>
    </w:pPr>
    <w:rPr>
      <w:rFonts w:asciiTheme="minorHAnsi" w:eastAsiaTheme="minorEastAsia" w:hAnsiTheme="minorHAnsi" w:cstheme="majorBidi"/>
      <w:b/>
      <w:bCs/>
      <w:color w:val="595959" w:themeColor="text1" w:themeTint="A6"/>
    </w:rPr>
  </w:style>
  <w:style w:type="paragraph" w:styleId="8">
    <w:name w:val="heading 8"/>
    <w:basedOn w:val="a"/>
    <w:next w:val="a"/>
    <w:link w:val="80"/>
    <w:uiPriority w:val="9"/>
    <w:semiHidden/>
    <w:unhideWhenUsed/>
    <w:qFormat/>
    <w:rsid w:val="00FF22A0"/>
    <w:pPr>
      <w:keepNext/>
      <w:keepLines/>
      <w:outlineLvl w:val="7"/>
    </w:pPr>
    <w:rPr>
      <w:rFonts w:asciiTheme="minorHAnsi" w:eastAsiaTheme="minorEastAsia" w:hAnsiTheme="minorHAnsi" w:cstheme="majorBidi"/>
      <w:color w:val="595959" w:themeColor="text1" w:themeTint="A6"/>
    </w:rPr>
  </w:style>
  <w:style w:type="paragraph" w:styleId="9">
    <w:name w:val="heading 9"/>
    <w:basedOn w:val="a"/>
    <w:next w:val="a"/>
    <w:link w:val="90"/>
    <w:uiPriority w:val="9"/>
    <w:semiHidden/>
    <w:unhideWhenUsed/>
    <w:qFormat/>
    <w:rsid w:val="00FF22A0"/>
    <w:pPr>
      <w:keepNext/>
      <w:keepLines/>
      <w:outlineLvl w:val="8"/>
    </w:pPr>
    <w:rPr>
      <w:rFonts w:asciiTheme="minorHAnsi" w:eastAsiaTheme="majorEastAsia" w:hAnsiTheme="minorHAnsi"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FF22A0"/>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FF22A0"/>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FF22A0"/>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FF22A0"/>
    <w:rPr>
      <w:rFonts w:cstheme="majorBidi"/>
      <w:color w:val="2F5496" w:themeColor="accent1" w:themeShade="BF"/>
      <w:sz w:val="28"/>
      <w:szCs w:val="28"/>
    </w:rPr>
  </w:style>
  <w:style w:type="character" w:customStyle="1" w:styleId="50">
    <w:name w:val="标题 5 字符"/>
    <w:basedOn w:val="a0"/>
    <w:link w:val="5"/>
    <w:uiPriority w:val="9"/>
    <w:semiHidden/>
    <w:rsid w:val="00FF22A0"/>
    <w:rPr>
      <w:rFonts w:cstheme="majorBidi"/>
      <w:color w:val="2F5496" w:themeColor="accent1" w:themeShade="BF"/>
      <w:sz w:val="24"/>
      <w:szCs w:val="24"/>
    </w:rPr>
  </w:style>
  <w:style w:type="character" w:customStyle="1" w:styleId="60">
    <w:name w:val="标题 6 字符"/>
    <w:basedOn w:val="a0"/>
    <w:link w:val="6"/>
    <w:uiPriority w:val="9"/>
    <w:semiHidden/>
    <w:rsid w:val="00FF22A0"/>
    <w:rPr>
      <w:rFonts w:cstheme="majorBidi"/>
      <w:b/>
      <w:bCs/>
      <w:color w:val="2F5496" w:themeColor="accent1" w:themeShade="BF"/>
    </w:rPr>
  </w:style>
  <w:style w:type="character" w:customStyle="1" w:styleId="70">
    <w:name w:val="标题 7 字符"/>
    <w:basedOn w:val="a0"/>
    <w:link w:val="7"/>
    <w:uiPriority w:val="9"/>
    <w:semiHidden/>
    <w:rsid w:val="00FF22A0"/>
    <w:rPr>
      <w:rFonts w:cstheme="majorBidi"/>
      <w:b/>
      <w:bCs/>
      <w:color w:val="595959" w:themeColor="text1" w:themeTint="A6"/>
    </w:rPr>
  </w:style>
  <w:style w:type="character" w:customStyle="1" w:styleId="80">
    <w:name w:val="标题 8 字符"/>
    <w:basedOn w:val="a0"/>
    <w:link w:val="8"/>
    <w:uiPriority w:val="9"/>
    <w:semiHidden/>
    <w:rsid w:val="00FF22A0"/>
    <w:rPr>
      <w:rFonts w:cstheme="majorBidi"/>
      <w:color w:val="595959" w:themeColor="text1" w:themeTint="A6"/>
    </w:rPr>
  </w:style>
  <w:style w:type="character" w:customStyle="1" w:styleId="90">
    <w:name w:val="标题 9 字符"/>
    <w:basedOn w:val="a0"/>
    <w:link w:val="9"/>
    <w:uiPriority w:val="9"/>
    <w:semiHidden/>
    <w:rsid w:val="00FF22A0"/>
    <w:rPr>
      <w:rFonts w:eastAsiaTheme="majorEastAsia" w:cstheme="majorBidi"/>
      <w:color w:val="595959" w:themeColor="text1" w:themeTint="A6"/>
    </w:rPr>
  </w:style>
  <w:style w:type="paragraph" w:styleId="a3">
    <w:name w:val="Title"/>
    <w:basedOn w:val="a"/>
    <w:next w:val="a"/>
    <w:link w:val="a4"/>
    <w:qFormat/>
    <w:rsid w:val="00FF22A0"/>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FF22A0"/>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FF22A0"/>
    <w:pPr>
      <w:numPr>
        <w:ilvl w:val="1"/>
      </w:numPr>
      <w:spacing w:after="160"/>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FF22A0"/>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FF22A0"/>
    <w:pPr>
      <w:spacing w:before="160" w:after="160"/>
      <w:jc w:val="center"/>
    </w:pPr>
    <w:rPr>
      <w:rFonts w:asciiTheme="minorHAnsi" w:eastAsiaTheme="minorEastAsia" w:hAnsiTheme="minorHAnsi" w:cstheme="minorBidi"/>
      <w:i/>
      <w:iCs/>
      <w:color w:val="404040" w:themeColor="text1" w:themeTint="BF"/>
    </w:rPr>
  </w:style>
  <w:style w:type="character" w:customStyle="1" w:styleId="a8">
    <w:name w:val="引用 字符"/>
    <w:basedOn w:val="a0"/>
    <w:link w:val="a7"/>
    <w:uiPriority w:val="29"/>
    <w:rsid w:val="00FF22A0"/>
    <w:rPr>
      <w:i/>
      <w:iCs/>
      <w:color w:val="404040" w:themeColor="text1" w:themeTint="BF"/>
    </w:rPr>
  </w:style>
  <w:style w:type="paragraph" w:styleId="a9">
    <w:name w:val="List Paragraph"/>
    <w:basedOn w:val="a"/>
    <w:uiPriority w:val="34"/>
    <w:qFormat/>
    <w:rsid w:val="00FF22A0"/>
    <w:pPr>
      <w:ind w:left="720"/>
      <w:contextualSpacing/>
    </w:pPr>
    <w:rPr>
      <w:rFonts w:asciiTheme="minorHAnsi" w:eastAsiaTheme="minorEastAsia" w:hAnsiTheme="minorHAnsi" w:cstheme="minorBidi"/>
    </w:rPr>
  </w:style>
  <w:style w:type="character" w:styleId="aa">
    <w:name w:val="Intense Emphasis"/>
    <w:basedOn w:val="a0"/>
    <w:uiPriority w:val="21"/>
    <w:qFormat/>
    <w:rsid w:val="00FF22A0"/>
    <w:rPr>
      <w:i/>
      <w:iCs/>
      <w:color w:val="2F5496" w:themeColor="accent1" w:themeShade="BF"/>
    </w:rPr>
  </w:style>
  <w:style w:type="paragraph" w:styleId="ab">
    <w:name w:val="Intense Quote"/>
    <w:basedOn w:val="a"/>
    <w:next w:val="a"/>
    <w:link w:val="ac"/>
    <w:uiPriority w:val="30"/>
    <w:qFormat/>
    <w:rsid w:val="00FF22A0"/>
    <w:pPr>
      <w:pBdr>
        <w:top w:val="single" w:sz="4" w:space="10" w:color="2F5496" w:themeColor="accent1" w:themeShade="BF"/>
        <w:bottom w:val="single" w:sz="4" w:space="10" w:color="2F5496" w:themeColor="accent1" w:themeShade="BF"/>
      </w:pBdr>
      <w:spacing w:before="360" w:after="360"/>
      <w:ind w:left="864" w:right="864"/>
      <w:jc w:val="center"/>
    </w:pPr>
    <w:rPr>
      <w:rFonts w:asciiTheme="minorHAnsi" w:eastAsiaTheme="minorEastAsia" w:hAnsiTheme="minorHAnsi" w:cstheme="minorBidi"/>
      <w:i/>
      <w:iCs/>
      <w:color w:val="2F5496" w:themeColor="accent1" w:themeShade="BF"/>
    </w:rPr>
  </w:style>
  <w:style w:type="character" w:customStyle="1" w:styleId="ac">
    <w:name w:val="明显引用 字符"/>
    <w:basedOn w:val="a0"/>
    <w:link w:val="ab"/>
    <w:uiPriority w:val="30"/>
    <w:rsid w:val="00FF22A0"/>
    <w:rPr>
      <w:i/>
      <w:iCs/>
      <w:color w:val="2F5496" w:themeColor="accent1" w:themeShade="BF"/>
    </w:rPr>
  </w:style>
  <w:style w:type="character" w:styleId="ad">
    <w:name w:val="Intense Reference"/>
    <w:basedOn w:val="a0"/>
    <w:uiPriority w:val="32"/>
    <w:qFormat/>
    <w:rsid w:val="00FF22A0"/>
    <w:rPr>
      <w:b/>
      <w:bCs/>
      <w:smallCaps/>
      <w:color w:val="2F5496" w:themeColor="accent1" w:themeShade="BF"/>
      <w:spacing w:val="5"/>
    </w:rPr>
  </w:style>
  <w:style w:type="paragraph" w:styleId="ae">
    <w:name w:val="header"/>
    <w:basedOn w:val="a"/>
    <w:link w:val="af"/>
    <w:uiPriority w:val="99"/>
    <w:unhideWhenUsed/>
    <w:rsid w:val="00872D15"/>
    <w:pPr>
      <w:tabs>
        <w:tab w:val="center" w:pos="4153"/>
        <w:tab w:val="right" w:pos="8306"/>
      </w:tabs>
      <w:snapToGrid w:val="0"/>
      <w:jc w:val="center"/>
    </w:pPr>
    <w:rPr>
      <w:rFonts w:asciiTheme="minorHAnsi" w:eastAsiaTheme="minorEastAsia" w:hAnsiTheme="minorHAnsi" w:cstheme="minorBidi"/>
      <w:sz w:val="18"/>
      <w:szCs w:val="18"/>
    </w:rPr>
  </w:style>
  <w:style w:type="character" w:customStyle="1" w:styleId="af">
    <w:name w:val="页眉 字符"/>
    <w:basedOn w:val="a0"/>
    <w:link w:val="ae"/>
    <w:uiPriority w:val="99"/>
    <w:rsid w:val="00872D15"/>
    <w:rPr>
      <w:sz w:val="18"/>
      <w:szCs w:val="18"/>
    </w:rPr>
  </w:style>
  <w:style w:type="paragraph" w:styleId="af0">
    <w:name w:val="footer"/>
    <w:basedOn w:val="a"/>
    <w:link w:val="af1"/>
    <w:uiPriority w:val="99"/>
    <w:unhideWhenUsed/>
    <w:rsid w:val="00872D15"/>
    <w:pPr>
      <w:tabs>
        <w:tab w:val="center" w:pos="4153"/>
        <w:tab w:val="right" w:pos="8306"/>
      </w:tabs>
      <w:snapToGrid w:val="0"/>
      <w:jc w:val="left"/>
    </w:pPr>
    <w:rPr>
      <w:rFonts w:asciiTheme="minorHAnsi" w:eastAsiaTheme="minorEastAsia" w:hAnsiTheme="minorHAnsi" w:cstheme="minorBidi"/>
      <w:sz w:val="18"/>
      <w:szCs w:val="18"/>
    </w:rPr>
  </w:style>
  <w:style w:type="character" w:customStyle="1" w:styleId="af1">
    <w:name w:val="页脚 字符"/>
    <w:basedOn w:val="a0"/>
    <w:link w:val="af0"/>
    <w:uiPriority w:val="99"/>
    <w:rsid w:val="00872D15"/>
    <w:rPr>
      <w:sz w:val="18"/>
      <w:szCs w:val="18"/>
    </w:rPr>
  </w:style>
  <w:style w:type="character" w:customStyle="1" w:styleId="11">
    <w:name w:val="标题 字符1"/>
    <w:basedOn w:val="a0"/>
    <w:rsid w:val="00015B3C"/>
    <w:rPr>
      <w:rFonts w:asciiTheme="majorHAnsi" w:eastAsiaTheme="majorEastAsia" w:hAnsiTheme="majorHAnsi" w:cstheme="majorBidi"/>
      <w:spacing w:val="-10"/>
      <w:kern w:val="28"/>
      <w:sz w:val="56"/>
      <w:szCs w:val="56"/>
    </w:rPr>
  </w:style>
  <w:style w:type="paragraph" w:styleId="af2">
    <w:name w:val="Plain Text"/>
    <w:basedOn w:val="a"/>
    <w:link w:val="12"/>
    <w:qFormat/>
    <w:rsid w:val="00015B3C"/>
    <w:pPr>
      <w:spacing w:line="360" w:lineRule="auto"/>
      <w:ind w:firstLineChars="200" w:firstLine="480"/>
    </w:pPr>
    <w:rPr>
      <w:rFonts w:ascii="仿宋_GB2312"/>
      <w:sz w:val="24"/>
      <w:szCs w:val="24"/>
    </w:rPr>
  </w:style>
  <w:style w:type="character" w:customStyle="1" w:styleId="af3">
    <w:name w:val="纯文本 字符"/>
    <w:basedOn w:val="a0"/>
    <w:uiPriority w:val="99"/>
    <w:semiHidden/>
    <w:rsid w:val="00015B3C"/>
    <w:rPr>
      <w:rFonts w:asciiTheme="minorEastAsia" w:hAnsi="Courier New" w:cs="Courier New"/>
    </w:rPr>
  </w:style>
  <w:style w:type="character" w:customStyle="1" w:styleId="12">
    <w:name w:val="纯文本 字符1"/>
    <w:basedOn w:val="a0"/>
    <w:link w:val="af2"/>
    <w:rsid w:val="00015B3C"/>
    <w:rPr>
      <w:rFonts w:ascii="仿宋_GB2312" w:eastAsia="宋体" w:hAnsi="Calibri" w:cs="Times New Roman"/>
      <w:sz w:val="24"/>
      <w:szCs w:val="24"/>
    </w:rPr>
  </w:style>
  <w:style w:type="table" w:customStyle="1" w:styleId="13">
    <w:name w:val="普通表格1"/>
    <w:uiPriority w:val="99"/>
    <w:semiHidden/>
    <w:rsid w:val="00015B3C"/>
    <w:rPr>
      <w:rFonts w:ascii="Times New Roman" w:eastAsia="宋体" w:hAnsi="Times New Roman" w:cs="Times New Roman"/>
      <w:kern w:val="0"/>
      <w:sz w:val="20"/>
      <w:szCs w:val="20"/>
    </w:rPr>
    <w:tblPr>
      <w:tblCellMar>
        <w:top w:w="0" w:type="dxa"/>
        <w:left w:w="108" w:type="dxa"/>
        <w:bottom w:w="0" w:type="dxa"/>
        <w:right w:w="108" w:type="dxa"/>
      </w:tblCellMar>
    </w:tblPr>
  </w:style>
  <w:style w:type="character" w:styleId="af4">
    <w:name w:val="page number"/>
    <w:basedOn w:val="a0"/>
    <w:semiHidden/>
    <w:qFormat/>
    <w:rsid w:val="00015B3C"/>
  </w:style>
  <w:style w:type="paragraph" w:customStyle="1" w:styleId="onormal">
    <w:name w:val="onormal"/>
    <w:basedOn w:val="a"/>
    <w:rsid w:val="00015B3C"/>
    <w:pPr>
      <w:spacing w:before="100" w:beforeAutospacing="1" w:after="100" w:afterAutospacing="1"/>
      <w:jc w:val="left"/>
    </w:pPr>
    <w:rPr>
      <w:kern w:val="0"/>
      <w:sz w:val="24"/>
      <w:szCs w:val="24"/>
    </w:rPr>
  </w:style>
  <w:style w:type="paragraph" w:customStyle="1" w:styleId="sonormal">
    <w:name w:val="sonormal"/>
    <w:basedOn w:val="a"/>
    <w:rsid w:val="00015B3C"/>
    <w:pPr>
      <w:spacing w:before="100" w:beforeAutospacing="1" w:after="100" w:afterAutospacing="1"/>
      <w:jc w:val="left"/>
    </w:pPr>
    <w:rPr>
      <w:kern w:val="0"/>
      <w:sz w:val="24"/>
      <w:szCs w:val="24"/>
    </w:rPr>
  </w:style>
  <w:style w:type="table" w:styleId="af5">
    <w:name w:val="Table Grid"/>
    <w:basedOn w:val="a1"/>
    <w:uiPriority w:val="99"/>
    <w:rsid w:val="00015B3C"/>
    <w:pPr>
      <w:widowControl w:val="0"/>
      <w:jc w:val="both"/>
    </w:pPr>
    <w:rPr>
      <w:rFonts w:ascii="Times New Roman" w:hAnsi="Times New Roman" w:cs="Times New Roman"/>
      <w:kern w:val="0"/>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331399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CCE8C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8</Pages>
  <Words>1057</Words>
  <Characters>6029</Characters>
  <Application>Microsoft Office Word</Application>
  <DocSecurity>0</DocSecurity>
  <Lines>50</Lines>
  <Paragraphs>14</Paragraphs>
  <ScaleCrop>false</ScaleCrop>
  <Company/>
  <LinksUpToDate>false</LinksUpToDate>
  <CharactersWithSpaces>7072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jingchao li</dc:creator>
  <cp:keywords/>
  <dc:description/>
  <cp:lastModifiedBy>webuser</cp:lastModifiedBy>
  <cp:revision>7</cp:revision>
  <cp:lastPrinted>2026-08-25T06:43:00Z</cp:lastPrinted>
  <dcterms:created xsi:type="dcterms:W3CDTF">2026-08-28T13:38:00Z</dcterms:created>
  <dcterms:modified xsi:type="dcterms:W3CDTF">2026-09-11T08:19:00Z</dcterms:modified>
</cp:coreProperties>
</file>