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832D7">
      <w:pPr>
        <w:spacing w:after="320" w:line="576" w:lineRule="exact"/>
        <w:rPr>
          <w:lang w:eastAsia="zh-CN"/>
        </w:rPr>
      </w:pPr>
      <w:r>
        <w:rPr>
          <w:rFonts w:ascii="黑体" w:hAnsi="黑体" w:eastAsia="黑体"/>
          <w:b/>
          <w:sz w:val="32"/>
          <w:lang w:eastAsia="zh-CN"/>
        </w:rPr>
        <w:t>附件：2</w:t>
      </w:r>
      <w:bookmarkStart w:id="0" w:name="OLE_LINK1"/>
      <w:r>
        <w:rPr>
          <w:rFonts w:ascii="黑体" w:hAnsi="黑体" w:eastAsia="黑体"/>
          <w:b/>
          <w:sz w:val="32"/>
          <w:lang w:eastAsia="zh-CN"/>
        </w:rPr>
        <w:t>025年度</w:t>
      </w:r>
      <w:r>
        <w:rPr>
          <w:rFonts w:hint="eastAsia" w:ascii="黑体" w:hAnsi="黑体" w:eastAsia="黑体"/>
          <w:b/>
          <w:sz w:val="32"/>
          <w:lang w:eastAsia="zh-CN"/>
        </w:rPr>
        <w:t>安徽省自然科学奖</w:t>
      </w:r>
      <w:r>
        <w:rPr>
          <w:rFonts w:ascii="黑体" w:hAnsi="黑体" w:eastAsia="黑体"/>
          <w:b/>
          <w:sz w:val="32"/>
          <w:lang w:eastAsia="zh-CN"/>
        </w:rPr>
        <w:t>拟提名项目公示材料</w:t>
      </w:r>
      <w:bookmarkEnd w:id="0"/>
    </w:p>
    <w:p w14:paraId="22833487">
      <w:pPr>
        <w:spacing w:before="240" w:after="240" w:line="576" w:lineRule="exact"/>
        <w:jc w:val="center"/>
        <w:rPr>
          <w:lang w:eastAsia="zh-CN"/>
        </w:rPr>
      </w:pPr>
      <w:r>
        <w:rPr>
          <w:rFonts w:ascii="黑体" w:hAnsi="黑体" w:eastAsia="黑体"/>
          <w:b/>
          <w:sz w:val="32"/>
          <w:lang w:eastAsia="zh-CN"/>
        </w:rPr>
        <w:t>关于2025年度</w:t>
      </w:r>
      <w:r>
        <w:rPr>
          <w:rFonts w:hint="eastAsia" w:ascii="黑体" w:hAnsi="黑体" w:eastAsia="黑体"/>
          <w:b/>
          <w:sz w:val="32"/>
          <w:lang w:eastAsia="zh-CN"/>
        </w:rPr>
        <w:t>安徽省自然科学奖</w:t>
      </w:r>
      <w:r>
        <w:rPr>
          <w:rFonts w:ascii="黑体" w:hAnsi="黑体" w:eastAsia="黑体"/>
          <w:b/>
          <w:sz w:val="32"/>
          <w:lang w:eastAsia="zh-CN"/>
        </w:rPr>
        <w:t>推荐项目公示</w:t>
      </w:r>
    </w:p>
    <w:p w14:paraId="1E82F164">
      <w:pPr>
        <w:spacing w:before="120" w:after="120" w:line="576" w:lineRule="exact"/>
        <w:ind w:firstLine="640"/>
        <w:rPr>
          <w:rFonts w:hint="default"/>
          <w:lang w:val="en-US" w:eastAsia="zh-CN"/>
        </w:rPr>
      </w:pPr>
      <w:r>
        <w:rPr>
          <w:rFonts w:ascii="仿宋" w:hAnsi="仿宋" w:eastAsia="仿宋"/>
          <w:b/>
          <w:bCs/>
          <w:sz w:val="32"/>
          <w:lang w:eastAsia="zh-CN"/>
        </w:rPr>
        <w:t>一、项目名称</w:t>
      </w:r>
      <w:r>
        <w:rPr>
          <w:rFonts w:ascii="仿宋" w:hAnsi="仿宋" w:eastAsia="仿宋"/>
          <w:sz w:val="32"/>
          <w:lang w:eastAsia="zh-CN"/>
        </w:rPr>
        <w:t>：</w:t>
      </w:r>
      <w:r>
        <w:rPr>
          <w:rFonts w:hint="eastAsia" w:ascii="仿宋" w:hAnsi="仿宋" w:eastAsia="仿宋"/>
          <w:sz w:val="32"/>
          <w:lang w:eastAsia="zh-CN"/>
        </w:rPr>
        <w:t>储氢合金在多相含能材料体系中的爆轰能量调控机制</w:t>
      </w:r>
      <w:r>
        <w:rPr>
          <w:rFonts w:hint="eastAsia" w:ascii="仿宋" w:hAnsi="仿宋" w:eastAsia="仿宋"/>
          <w:sz w:val="32"/>
          <w:lang w:val="en-US" w:eastAsia="zh-CN"/>
        </w:rPr>
        <w:t>研究</w:t>
      </w:r>
    </w:p>
    <w:p w14:paraId="207354B5">
      <w:pPr>
        <w:spacing w:before="120" w:after="120" w:line="576" w:lineRule="exact"/>
        <w:ind w:firstLine="640"/>
        <w:rPr>
          <w:rFonts w:hint="default" w:ascii="仿宋" w:hAnsi="仿宋" w:eastAsia="仿宋"/>
          <w:sz w:val="32"/>
          <w:lang w:val="en-US" w:eastAsia="zh-CN"/>
        </w:rPr>
      </w:pPr>
      <w:r>
        <w:rPr>
          <w:rFonts w:ascii="仿宋" w:hAnsi="仿宋" w:eastAsia="仿宋"/>
          <w:b/>
          <w:bCs/>
          <w:sz w:val="32"/>
          <w:lang w:eastAsia="zh-CN"/>
        </w:rPr>
        <w:t>二、提名单位：</w:t>
      </w:r>
      <w:r>
        <w:rPr>
          <w:rFonts w:hint="eastAsia" w:ascii="仿宋" w:hAnsi="仿宋" w:eastAsia="仿宋"/>
          <w:sz w:val="32"/>
          <w:lang w:val="en-US" w:eastAsia="zh-CN"/>
        </w:rPr>
        <w:t>安徽理工大学</w:t>
      </w:r>
    </w:p>
    <w:p w14:paraId="03857342">
      <w:pPr>
        <w:spacing w:before="120" w:after="120" w:line="576" w:lineRule="exact"/>
        <w:ind w:firstLine="640"/>
        <w:rPr>
          <w:lang w:eastAsia="zh-CN"/>
        </w:rPr>
      </w:pPr>
      <w:r>
        <w:rPr>
          <w:rFonts w:ascii="仿宋" w:hAnsi="仿宋" w:eastAsia="仿宋"/>
          <w:b/>
          <w:bCs/>
          <w:sz w:val="32"/>
          <w:lang w:eastAsia="zh-CN"/>
        </w:rPr>
        <w:t>三、提名等级：</w:t>
      </w:r>
      <w:r>
        <w:rPr>
          <w:rFonts w:hint="eastAsia" w:ascii="仿宋" w:hAnsi="仿宋" w:eastAsia="仿宋"/>
          <w:sz w:val="32"/>
          <w:lang w:eastAsia="zh-CN"/>
        </w:rPr>
        <w:t>安徽省自然科学奖</w:t>
      </w:r>
      <w:r>
        <w:rPr>
          <w:rFonts w:hint="eastAsia" w:ascii="仿宋" w:hAnsi="仿宋" w:eastAsia="仿宋"/>
          <w:sz w:val="32"/>
          <w:lang w:val="en-US" w:eastAsia="zh-CN"/>
        </w:rPr>
        <w:t>三</w:t>
      </w:r>
      <w:r>
        <w:rPr>
          <w:rFonts w:hint="eastAsia" w:ascii="仿宋" w:hAnsi="仿宋" w:eastAsia="仿宋"/>
          <w:sz w:val="32"/>
          <w:lang w:eastAsia="zh-CN"/>
        </w:rPr>
        <w:t>等奖及以上等次</w:t>
      </w:r>
    </w:p>
    <w:p w14:paraId="31A353BD">
      <w:pPr>
        <w:spacing w:before="120" w:after="120" w:line="576" w:lineRule="exact"/>
        <w:ind w:firstLine="640"/>
        <w:rPr>
          <w:rFonts w:ascii="仿宋" w:hAnsi="仿宋" w:eastAsia="仿宋"/>
          <w:b/>
          <w:bCs/>
          <w:sz w:val="32"/>
          <w:lang w:eastAsia="zh-CN"/>
        </w:rPr>
      </w:pPr>
      <w:r>
        <w:rPr>
          <w:rFonts w:ascii="仿宋" w:hAnsi="仿宋" w:eastAsia="仿宋"/>
          <w:b/>
          <w:bCs/>
          <w:sz w:val="32"/>
        </w:rPr>
        <w:t>四、完成人及完成单位</w:t>
      </w:r>
    </w:p>
    <w:tbl>
      <w:tblPr>
        <w:tblStyle w:val="34"/>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3"/>
        <w:gridCol w:w="2014"/>
        <w:gridCol w:w="4292"/>
      </w:tblGrid>
      <w:tr w14:paraId="165C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253" w:type="dxa"/>
            <w:vAlign w:val="center"/>
          </w:tcPr>
          <w:p w14:paraId="61D04C4E">
            <w:pPr>
              <w:adjustRightInd w:val="0"/>
              <w:snapToGrid w:val="0"/>
              <w:spacing w:after="0" w:line="240" w:lineRule="auto"/>
              <w:jc w:val="center"/>
              <w:rPr>
                <w:sz w:val="32"/>
                <w:szCs w:val="32"/>
              </w:rPr>
            </w:pPr>
            <w:r>
              <w:rPr>
                <w:rFonts w:ascii="黑体" w:hAnsi="黑体" w:eastAsia="黑体"/>
                <w:b/>
                <w:sz w:val="28"/>
                <w:szCs w:val="32"/>
              </w:rPr>
              <w:t>完成人排序</w:t>
            </w:r>
          </w:p>
        </w:tc>
        <w:tc>
          <w:tcPr>
            <w:tcW w:w="2014" w:type="dxa"/>
            <w:vAlign w:val="center"/>
          </w:tcPr>
          <w:p w14:paraId="0F0C3397">
            <w:pPr>
              <w:adjustRightInd w:val="0"/>
              <w:snapToGrid w:val="0"/>
              <w:spacing w:after="0" w:line="240" w:lineRule="auto"/>
              <w:jc w:val="center"/>
              <w:rPr>
                <w:sz w:val="32"/>
                <w:szCs w:val="32"/>
              </w:rPr>
            </w:pPr>
            <w:r>
              <w:rPr>
                <w:rFonts w:ascii="黑体" w:hAnsi="黑体" w:eastAsia="黑体"/>
                <w:b/>
                <w:sz w:val="28"/>
                <w:szCs w:val="32"/>
              </w:rPr>
              <w:t>完成人姓名</w:t>
            </w:r>
          </w:p>
        </w:tc>
        <w:tc>
          <w:tcPr>
            <w:tcW w:w="4292" w:type="dxa"/>
            <w:vAlign w:val="center"/>
          </w:tcPr>
          <w:p w14:paraId="6223E6DE">
            <w:pPr>
              <w:adjustRightInd w:val="0"/>
              <w:snapToGrid w:val="0"/>
              <w:spacing w:after="0" w:line="240" w:lineRule="auto"/>
              <w:jc w:val="center"/>
              <w:rPr>
                <w:sz w:val="32"/>
                <w:szCs w:val="32"/>
              </w:rPr>
            </w:pPr>
            <w:r>
              <w:rPr>
                <w:rFonts w:hint="eastAsia" w:ascii="黑体" w:hAnsi="黑体" w:eastAsia="黑体"/>
                <w:b/>
                <w:sz w:val="28"/>
                <w:szCs w:val="32"/>
                <w:lang w:eastAsia="zh-CN"/>
              </w:rPr>
              <w:t>工作</w:t>
            </w:r>
            <w:r>
              <w:rPr>
                <w:rFonts w:ascii="黑体" w:hAnsi="黑体" w:eastAsia="黑体"/>
                <w:b/>
                <w:sz w:val="28"/>
                <w:szCs w:val="32"/>
              </w:rPr>
              <w:t>单位</w:t>
            </w:r>
          </w:p>
        </w:tc>
      </w:tr>
      <w:tr w14:paraId="43EA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253" w:type="dxa"/>
            <w:vAlign w:val="center"/>
          </w:tcPr>
          <w:p w14:paraId="00B036C7">
            <w:pPr>
              <w:adjustRightInd w:val="0"/>
              <w:snapToGrid w:val="0"/>
              <w:spacing w:after="0" w:line="240" w:lineRule="auto"/>
              <w:jc w:val="center"/>
              <w:rPr>
                <w:sz w:val="32"/>
                <w:szCs w:val="32"/>
              </w:rPr>
            </w:pPr>
            <w:r>
              <w:rPr>
                <w:rFonts w:ascii="仿宋" w:hAnsi="仿宋" w:eastAsia="仿宋"/>
                <w:sz w:val="28"/>
                <w:szCs w:val="32"/>
              </w:rPr>
              <w:t>第一完成人</w:t>
            </w:r>
          </w:p>
        </w:tc>
        <w:tc>
          <w:tcPr>
            <w:tcW w:w="2014" w:type="dxa"/>
            <w:vAlign w:val="center"/>
          </w:tcPr>
          <w:p w14:paraId="03322B7E">
            <w:pPr>
              <w:adjustRightInd w:val="0"/>
              <w:snapToGrid w:val="0"/>
              <w:spacing w:after="0" w:line="240" w:lineRule="auto"/>
              <w:jc w:val="center"/>
              <w:rPr>
                <w:rFonts w:hint="default" w:ascii="仿宋" w:hAnsi="仿宋" w:eastAsia="仿宋"/>
                <w:sz w:val="28"/>
                <w:szCs w:val="32"/>
                <w:lang w:val="en-US" w:eastAsia="zh-CN"/>
              </w:rPr>
            </w:pPr>
            <w:r>
              <w:rPr>
                <w:rFonts w:hint="eastAsia" w:ascii="仿宋" w:hAnsi="仿宋" w:eastAsia="仿宋"/>
                <w:sz w:val="28"/>
                <w:szCs w:val="32"/>
                <w:lang w:val="en-US" w:eastAsia="zh-CN"/>
              </w:rPr>
              <w:t>程扬帆</w:t>
            </w:r>
          </w:p>
        </w:tc>
        <w:tc>
          <w:tcPr>
            <w:tcW w:w="4292" w:type="dxa"/>
            <w:vAlign w:val="center"/>
          </w:tcPr>
          <w:p w14:paraId="36BB20EB">
            <w:pPr>
              <w:adjustRightInd w:val="0"/>
              <w:snapToGrid w:val="0"/>
              <w:spacing w:after="0" w:line="240" w:lineRule="auto"/>
              <w:jc w:val="center"/>
              <w:rPr>
                <w:rFonts w:ascii="仿宋" w:hAnsi="仿宋" w:eastAsia="仿宋"/>
                <w:sz w:val="28"/>
                <w:szCs w:val="32"/>
                <w:lang w:eastAsia="zh-CN"/>
              </w:rPr>
            </w:pPr>
            <w:r>
              <w:rPr>
                <w:rFonts w:hint="eastAsia" w:ascii="仿宋" w:hAnsi="仿宋" w:eastAsia="仿宋"/>
                <w:sz w:val="28"/>
                <w:szCs w:val="32"/>
                <w:lang w:eastAsia="zh-CN"/>
              </w:rPr>
              <w:t>安徽</w:t>
            </w:r>
            <w:r>
              <w:rPr>
                <w:rFonts w:hint="eastAsia" w:ascii="仿宋" w:hAnsi="仿宋" w:eastAsia="仿宋"/>
                <w:sz w:val="28"/>
                <w:szCs w:val="32"/>
                <w:lang w:val="en-US" w:eastAsia="zh-CN"/>
              </w:rPr>
              <w:t>理工</w:t>
            </w:r>
            <w:r>
              <w:rPr>
                <w:rFonts w:hint="eastAsia" w:ascii="仿宋" w:hAnsi="仿宋" w:eastAsia="仿宋"/>
                <w:sz w:val="28"/>
                <w:szCs w:val="32"/>
                <w:lang w:eastAsia="zh-CN"/>
              </w:rPr>
              <w:t>大学</w:t>
            </w:r>
          </w:p>
        </w:tc>
      </w:tr>
      <w:tr w14:paraId="160E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253" w:type="dxa"/>
            <w:vAlign w:val="center"/>
          </w:tcPr>
          <w:p w14:paraId="1EE64085">
            <w:pPr>
              <w:adjustRightInd w:val="0"/>
              <w:snapToGrid w:val="0"/>
              <w:spacing w:after="0" w:line="240" w:lineRule="auto"/>
              <w:jc w:val="center"/>
              <w:rPr>
                <w:sz w:val="32"/>
                <w:szCs w:val="32"/>
              </w:rPr>
            </w:pPr>
            <w:r>
              <w:rPr>
                <w:rFonts w:ascii="仿宋" w:hAnsi="仿宋" w:eastAsia="仿宋"/>
                <w:sz w:val="28"/>
                <w:szCs w:val="32"/>
              </w:rPr>
              <w:t>第二完成人</w:t>
            </w:r>
          </w:p>
        </w:tc>
        <w:tc>
          <w:tcPr>
            <w:tcW w:w="2014" w:type="dxa"/>
            <w:vAlign w:val="center"/>
          </w:tcPr>
          <w:p w14:paraId="0245E265">
            <w:pPr>
              <w:adjustRightInd w:val="0"/>
              <w:snapToGrid w:val="0"/>
              <w:spacing w:after="0" w:line="240" w:lineRule="auto"/>
              <w:jc w:val="center"/>
              <w:rPr>
                <w:rFonts w:hint="default" w:ascii="仿宋" w:hAnsi="仿宋" w:eastAsia="仿宋"/>
                <w:sz w:val="28"/>
                <w:szCs w:val="32"/>
                <w:lang w:val="en-US" w:eastAsia="zh-CN"/>
              </w:rPr>
            </w:pPr>
            <w:r>
              <w:rPr>
                <w:rFonts w:hint="eastAsia" w:ascii="仿宋" w:hAnsi="仿宋" w:eastAsia="仿宋"/>
                <w:sz w:val="28"/>
                <w:szCs w:val="32"/>
                <w:lang w:val="en-US" w:eastAsia="zh-CN"/>
              </w:rPr>
              <w:t>刘文近</w:t>
            </w:r>
          </w:p>
        </w:tc>
        <w:tc>
          <w:tcPr>
            <w:tcW w:w="4292" w:type="dxa"/>
            <w:vAlign w:val="center"/>
          </w:tcPr>
          <w:p w14:paraId="4E0AF962">
            <w:pPr>
              <w:adjustRightInd w:val="0"/>
              <w:snapToGrid w:val="0"/>
              <w:spacing w:after="0" w:line="240" w:lineRule="auto"/>
              <w:jc w:val="center"/>
              <w:rPr>
                <w:rFonts w:ascii="仿宋" w:hAnsi="仿宋" w:eastAsia="仿宋"/>
                <w:sz w:val="28"/>
                <w:szCs w:val="32"/>
                <w:lang w:eastAsia="zh-CN"/>
              </w:rPr>
            </w:pPr>
            <w:r>
              <w:rPr>
                <w:rFonts w:hint="eastAsia" w:ascii="仿宋" w:hAnsi="仿宋" w:eastAsia="仿宋"/>
                <w:sz w:val="28"/>
                <w:szCs w:val="32"/>
                <w:lang w:eastAsia="zh-CN"/>
              </w:rPr>
              <w:t>安徽</w:t>
            </w:r>
            <w:r>
              <w:rPr>
                <w:rFonts w:hint="eastAsia" w:ascii="仿宋" w:hAnsi="仿宋" w:eastAsia="仿宋"/>
                <w:sz w:val="28"/>
                <w:szCs w:val="32"/>
                <w:lang w:val="en-US" w:eastAsia="zh-CN"/>
              </w:rPr>
              <w:t>理工</w:t>
            </w:r>
            <w:r>
              <w:rPr>
                <w:rFonts w:hint="eastAsia" w:ascii="仿宋" w:hAnsi="仿宋" w:eastAsia="仿宋"/>
                <w:sz w:val="28"/>
                <w:szCs w:val="32"/>
                <w:lang w:eastAsia="zh-CN"/>
              </w:rPr>
              <w:t>大学</w:t>
            </w:r>
          </w:p>
        </w:tc>
      </w:tr>
      <w:tr w14:paraId="0BBC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253" w:type="dxa"/>
            <w:vAlign w:val="center"/>
          </w:tcPr>
          <w:p w14:paraId="32A4D531">
            <w:pPr>
              <w:adjustRightInd w:val="0"/>
              <w:snapToGrid w:val="0"/>
              <w:spacing w:after="0" w:line="240" w:lineRule="auto"/>
              <w:jc w:val="center"/>
              <w:rPr>
                <w:sz w:val="32"/>
                <w:szCs w:val="32"/>
              </w:rPr>
            </w:pPr>
            <w:r>
              <w:rPr>
                <w:rFonts w:ascii="仿宋" w:hAnsi="仿宋" w:eastAsia="仿宋"/>
                <w:sz w:val="28"/>
                <w:szCs w:val="32"/>
              </w:rPr>
              <w:t>第三完成人</w:t>
            </w:r>
          </w:p>
        </w:tc>
        <w:tc>
          <w:tcPr>
            <w:tcW w:w="2014" w:type="dxa"/>
            <w:vAlign w:val="center"/>
          </w:tcPr>
          <w:p w14:paraId="789385AD">
            <w:pPr>
              <w:adjustRightInd w:val="0"/>
              <w:snapToGrid w:val="0"/>
              <w:spacing w:after="0" w:line="240" w:lineRule="auto"/>
              <w:jc w:val="center"/>
              <w:rPr>
                <w:rFonts w:hint="default" w:ascii="仿宋" w:hAnsi="仿宋" w:eastAsia="仿宋"/>
                <w:sz w:val="28"/>
                <w:szCs w:val="32"/>
                <w:lang w:val="en-US" w:eastAsia="zh-CN"/>
              </w:rPr>
            </w:pPr>
            <w:r>
              <w:rPr>
                <w:rFonts w:hint="eastAsia" w:ascii="仿宋" w:hAnsi="仿宋" w:eastAsia="仿宋"/>
                <w:sz w:val="28"/>
                <w:szCs w:val="32"/>
                <w:lang w:val="en-US" w:eastAsia="zh-CN"/>
              </w:rPr>
              <w:t>方华</w:t>
            </w:r>
          </w:p>
        </w:tc>
        <w:tc>
          <w:tcPr>
            <w:tcW w:w="4292" w:type="dxa"/>
            <w:vAlign w:val="center"/>
          </w:tcPr>
          <w:p w14:paraId="4E7C259F">
            <w:pPr>
              <w:adjustRightInd w:val="0"/>
              <w:snapToGrid w:val="0"/>
              <w:spacing w:after="0" w:line="240" w:lineRule="auto"/>
              <w:jc w:val="center"/>
              <w:rPr>
                <w:rFonts w:hint="default" w:ascii="仿宋" w:hAnsi="仿宋" w:eastAsia="仿宋"/>
                <w:sz w:val="28"/>
                <w:szCs w:val="32"/>
                <w:lang w:val="en-US" w:eastAsia="zh-CN"/>
              </w:rPr>
            </w:pPr>
            <w:r>
              <w:rPr>
                <w:rFonts w:hint="eastAsia" w:ascii="仿宋" w:hAnsi="仿宋" w:eastAsia="仿宋"/>
                <w:sz w:val="28"/>
                <w:szCs w:val="32"/>
                <w:lang w:val="en-US" w:eastAsia="zh-CN"/>
              </w:rPr>
              <w:t>中北大学</w:t>
            </w:r>
          </w:p>
        </w:tc>
      </w:tr>
      <w:tr w14:paraId="1230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253" w:type="dxa"/>
            <w:vAlign w:val="center"/>
          </w:tcPr>
          <w:p w14:paraId="4E3BE598">
            <w:pPr>
              <w:adjustRightInd w:val="0"/>
              <w:snapToGrid w:val="0"/>
              <w:spacing w:after="0" w:line="240" w:lineRule="auto"/>
              <w:jc w:val="center"/>
              <w:rPr>
                <w:sz w:val="32"/>
                <w:szCs w:val="32"/>
              </w:rPr>
            </w:pPr>
            <w:r>
              <w:rPr>
                <w:rFonts w:ascii="仿宋" w:hAnsi="仿宋" w:eastAsia="仿宋"/>
                <w:sz w:val="28"/>
                <w:szCs w:val="32"/>
              </w:rPr>
              <w:t>第四完成人</w:t>
            </w:r>
          </w:p>
        </w:tc>
        <w:tc>
          <w:tcPr>
            <w:tcW w:w="2014" w:type="dxa"/>
            <w:vAlign w:val="center"/>
          </w:tcPr>
          <w:p w14:paraId="6AE3E1A4">
            <w:pPr>
              <w:adjustRightInd w:val="0"/>
              <w:snapToGrid w:val="0"/>
              <w:spacing w:after="0" w:line="240" w:lineRule="auto"/>
              <w:jc w:val="center"/>
              <w:rPr>
                <w:rFonts w:hint="default" w:ascii="仿宋" w:hAnsi="仿宋" w:eastAsia="仿宋"/>
                <w:sz w:val="28"/>
                <w:szCs w:val="32"/>
                <w:lang w:val="en-US" w:eastAsia="zh-CN"/>
              </w:rPr>
            </w:pPr>
            <w:r>
              <w:rPr>
                <w:rFonts w:hint="eastAsia" w:ascii="仿宋" w:hAnsi="仿宋" w:eastAsia="仿宋"/>
                <w:sz w:val="28"/>
                <w:szCs w:val="32"/>
                <w:lang w:val="en-US" w:eastAsia="zh-CN"/>
              </w:rPr>
              <w:t>刘蓉</w:t>
            </w:r>
          </w:p>
        </w:tc>
        <w:tc>
          <w:tcPr>
            <w:tcW w:w="4292" w:type="dxa"/>
            <w:vAlign w:val="center"/>
          </w:tcPr>
          <w:p w14:paraId="43544039">
            <w:pPr>
              <w:adjustRightInd w:val="0"/>
              <w:snapToGrid w:val="0"/>
              <w:spacing w:after="0" w:line="240" w:lineRule="auto"/>
              <w:jc w:val="center"/>
              <w:rPr>
                <w:rFonts w:ascii="仿宋" w:hAnsi="仿宋" w:eastAsia="仿宋"/>
                <w:sz w:val="28"/>
                <w:szCs w:val="32"/>
                <w:lang w:eastAsia="zh-CN"/>
              </w:rPr>
            </w:pPr>
            <w:r>
              <w:rPr>
                <w:rFonts w:hint="eastAsia" w:ascii="仿宋" w:hAnsi="仿宋" w:eastAsia="仿宋"/>
                <w:sz w:val="28"/>
                <w:szCs w:val="32"/>
                <w:lang w:eastAsia="zh-CN"/>
              </w:rPr>
              <w:t>安徽</w:t>
            </w:r>
            <w:r>
              <w:rPr>
                <w:rFonts w:hint="eastAsia" w:ascii="仿宋" w:hAnsi="仿宋" w:eastAsia="仿宋"/>
                <w:sz w:val="28"/>
                <w:szCs w:val="32"/>
                <w:lang w:val="en-US" w:eastAsia="zh-CN"/>
              </w:rPr>
              <w:t>理工</w:t>
            </w:r>
            <w:r>
              <w:rPr>
                <w:rFonts w:hint="eastAsia" w:ascii="仿宋" w:hAnsi="仿宋" w:eastAsia="仿宋"/>
                <w:sz w:val="28"/>
                <w:szCs w:val="32"/>
                <w:lang w:eastAsia="zh-CN"/>
              </w:rPr>
              <w:t>大学</w:t>
            </w:r>
          </w:p>
        </w:tc>
      </w:tr>
      <w:tr w14:paraId="5AAA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253" w:type="dxa"/>
            <w:vAlign w:val="center"/>
          </w:tcPr>
          <w:p w14:paraId="6D1FF7CF">
            <w:pPr>
              <w:adjustRightInd w:val="0"/>
              <w:snapToGrid w:val="0"/>
              <w:spacing w:after="0" w:line="240" w:lineRule="auto"/>
              <w:jc w:val="center"/>
              <w:rPr>
                <w:sz w:val="32"/>
                <w:szCs w:val="32"/>
              </w:rPr>
            </w:pPr>
            <w:r>
              <w:rPr>
                <w:rFonts w:ascii="仿宋" w:hAnsi="仿宋" w:eastAsia="仿宋"/>
                <w:sz w:val="28"/>
                <w:szCs w:val="32"/>
              </w:rPr>
              <w:t>第五完成人</w:t>
            </w:r>
          </w:p>
        </w:tc>
        <w:tc>
          <w:tcPr>
            <w:tcW w:w="2014" w:type="dxa"/>
            <w:vAlign w:val="center"/>
          </w:tcPr>
          <w:p w14:paraId="7E72A679">
            <w:pPr>
              <w:adjustRightInd w:val="0"/>
              <w:snapToGrid w:val="0"/>
              <w:spacing w:after="0" w:line="240" w:lineRule="auto"/>
              <w:jc w:val="center"/>
              <w:rPr>
                <w:rFonts w:hint="default" w:ascii="仿宋" w:hAnsi="仿宋" w:eastAsia="仿宋"/>
                <w:sz w:val="28"/>
                <w:szCs w:val="32"/>
                <w:lang w:val="en-US" w:eastAsia="zh-CN"/>
              </w:rPr>
            </w:pPr>
            <w:r>
              <w:rPr>
                <w:rFonts w:hint="eastAsia" w:ascii="仿宋" w:hAnsi="仿宋" w:eastAsia="仿宋"/>
                <w:sz w:val="28"/>
                <w:szCs w:val="32"/>
                <w:lang w:val="en-US" w:eastAsia="zh-CN"/>
              </w:rPr>
              <w:t>沈兆武</w:t>
            </w:r>
          </w:p>
        </w:tc>
        <w:tc>
          <w:tcPr>
            <w:tcW w:w="4292" w:type="dxa"/>
            <w:vAlign w:val="center"/>
          </w:tcPr>
          <w:p w14:paraId="0F696DEA">
            <w:pPr>
              <w:adjustRightInd w:val="0"/>
              <w:snapToGrid w:val="0"/>
              <w:spacing w:after="0" w:line="240" w:lineRule="auto"/>
              <w:jc w:val="center"/>
              <w:rPr>
                <w:rFonts w:ascii="仿宋" w:hAnsi="仿宋" w:eastAsia="仿宋"/>
                <w:sz w:val="28"/>
                <w:szCs w:val="32"/>
                <w:lang w:eastAsia="zh-CN"/>
              </w:rPr>
            </w:pPr>
            <w:r>
              <w:rPr>
                <w:rFonts w:hint="eastAsia" w:ascii="仿宋" w:hAnsi="仿宋" w:eastAsia="仿宋"/>
                <w:sz w:val="28"/>
                <w:szCs w:val="32"/>
                <w:lang w:eastAsia="zh-CN"/>
              </w:rPr>
              <w:t>中国科学技术大学</w:t>
            </w:r>
          </w:p>
        </w:tc>
      </w:tr>
    </w:tbl>
    <w:p w14:paraId="38CA50FD">
      <w:pPr>
        <w:spacing w:before="240" w:after="120" w:line="240" w:lineRule="auto"/>
        <w:jc w:val="both"/>
        <w:rPr>
          <w:rFonts w:ascii="仿宋" w:hAnsi="仿宋" w:eastAsia="仿宋"/>
          <w:b/>
          <w:bCs/>
          <w:sz w:val="10"/>
          <w:szCs w:val="10"/>
          <w:lang w:eastAsia="zh-CN"/>
        </w:rPr>
      </w:pPr>
    </w:p>
    <w:tbl>
      <w:tblPr>
        <w:tblStyle w:val="3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0"/>
        <w:gridCol w:w="4765"/>
      </w:tblGrid>
      <w:tr w14:paraId="4141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3740" w:type="dxa"/>
            <w:vAlign w:val="center"/>
          </w:tcPr>
          <w:p w14:paraId="4491D04D">
            <w:pPr>
              <w:adjustRightInd w:val="0"/>
              <w:snapToGrid w:val="0"/>
              <w:spacing w:after="0" w:line="240" w:lineRule="auto"/>
              <w:jc w:val="center"/>
              <w:rPr>
                <w:rFonts w:ascii="黑体" w:hAnsi="黑体" w:eastAsia="黑体"/>
                <w:b/>
                <w:sz w:val="28"/>
                <w:szCs w:val="32"/>
              </w:rPr>
            </w:pPr>
            <w:r>
              <w:rPr>
                <w:rFonts w:hint="eastAsia" w:ascii="黑体" w:hAnsi="黑体" w:eastAsia="黑体"/>
                <w:b/>
                <w:sz w:val="28"/>
                <w:szCs w:val="32"/>
              </w:rPr>
              <w:t>完成单位排序</w:t>
            </w:r>
          </w:p>
        </w:tc>
        <w:tc>
          <w:tcPr>
            <w:tcW w:w="4765" w:type="dxa"/>
            <w:vAlign w:val="center"/>
          </w:tcPr>
          <w:p w14:paraId="28F1045F">
            <w:pPr>
              <w:adjustRightInd w:val="0"/>
              <w:snapToGrid w:val="0"/>
              <w:spacing w:after="0" w:line="240" w:lineRule="auto"/>
              <w:jc w:val="center"/>
              <w:rPr>
                <w:rFonts w:ascii="黑体" w:hAnsi="黑体" w:eastAsia="黑体"/>
                <w:b/>
                <w:sz w:val="28"/>
                <w:szCs w:val="32"/>
              </w:rPr>
            </w:pPr>
            <w:r>
              <w:rPr>
                <w:rFonts w:hint="eastAsia" w:ascii="黑体" w:hAnsi="黑体" w:eastAsia="黑体"/>
                <w:b/>
                <w:sz w:val="28"/>
                <w:szCs w:val="32"/>
              </w:rPr>
              <w:t>完成单位名称</w:t>
            </w:r>
          </w:p>
        </w:tc>
      </w:tr>
      <w:tr w14:paraId="19FD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trPr>
        <w:tc>
          <w:tcPr>
            <w:tcW w:w="3740" w:type="dxa"/>
            <w:vAlign w:val="center"/>
          </w:tcPr>
          <w:p w14:paraId="09FDF507">
            <w:pPr>
              <w:adjustRightInd w:val="0"/>
              <w:snapToGrid w:val="0"/>
              <w:spacing w:after="0" w:line="240" w:lineRule="auto"/>
              <w:jc w:val="center"/>
              <w:rPr>
                <w:rFonts w:ascii="仿宋" w:hAnsi="仿宋" w:eastAsia="仿宋"/>
                <w:sz w:val="28"/>
                <w:szCs w:val="32"/>
              </w:rPr>
            </w:pPr>
            <w:r>
              <w:rPr>
                <w:rFonts w:hint="eastAsia" w:ascii="仿宋" w:hAnsi="仿宋" w:eastAsia="仿宋"/>
                <w:sz w:val="28"/>
                <w:szCs w:val="32"/>
                <w:lang w:eastAsia="zh-CN"/>
              </w:rPr>
              <w:t>第一完成单位</w:t>
            </w:r>
          </w:p>
        </w:tc>
        <w:tc>
          <w:tcPr>
            <w:tcW w:w="4765" w:type="dxa"/>
            <w:vAlign w:val="center"/>
          </w:tcPr>
          <w:p w14:paraId="6EADBB79">
            <w:pPr>
              <w:adjustRightInd w:val="0"/>
              <w:snapToGrid w:val="0"/>
              <w:spacing w:after="0" w:line="240" w:lineRule="auto"/>
              <w:jc w:val="center"/>
              <w:rPr>
                <w:rFonts w:ascii="仿宋" w:hAnsi="仿宋" w:eastAsia="仿宋"/>
                <w:sz w:val="28"/>
                <w:szCs w:val="32"/>
                <w:lang w:eastAsia="zh-CN"/>
              </w:rPr>
            </w:pPr>
            <w:r>
              <w:rPr>
                <w:rFonts w:hint="eastAsia" w:ascii="仿宋" w:hAnsi="仿宋" w:eastAsia="仿宋"/>
                <w:sz w:val="28"/>
                <w:szCs w:val="32"/>
                <w:lang w:eastAsia="zh-CN"/>
              </w:rPr>
              <w:t>安徽</w:t>
            </w:r>
            <w:r>
              <w:rPr>
                <w:rFonts w:hint="eastAsia" w:ascii="仿宋" w:hAnsi="仿宋" w:eastAsia="仿宋"/>
                <w:sz w:val="28"/>
                <w:szCs w:val="32"/>
                <w:lang w:val="en-US" w:eastAsia="zh-CN"/>
              </w:rPr>
              <w:t>理工</w:t>
            </w:r>
            <w:r>
              <w:rPr>
                <w:rFonts w:hint="eastAsia" w:ascii="仿宋" w:hAnsi="仿宋" w:eastAsia="仿宋"/>
                <w:sz w:val="28"/>
                <w:szCs w:val="32"/>
                <w:lang w:eastAsia="zh-CN"/>
              </w:rPr>
              <w:t>大学</w:t>
            </w:r>
          </w:p>
        </w:tc>
      </w:tr>
      <w:tr w14:paraId="1579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3740" w:type="dxa"/>
            <w:vAlign w:val="center"/>
          </w:tcPr>
          <w:p w14:paraId="3F222EE4">
            <w:pPr>
              <w:adjustRightInd w:val="0"/>
              <w:snapToGrid w:val="0"/>
              <w:spacing w:after="0" w:line="240" w:lineRule="auto"/>
              <w:jc w:val="center"/>
              <w:rPr>
                <w:rFonts w:ascii="仿宋" w:hAnsi="仿宋" w:eastAsia="仿宋"/>
                <w:sz w:val="28"/>
                <w:szCs w:val="32"/>
              </w:rPr>
            </w:pPr>
            <w:r>
              <w:rPr>
                <w:rFonts w:hint="eastAsia" w:ascii="仿宋" w:hAnsi="仿宋" w:eastAsia="仿宋"/>
                <w:sz w:val="28"/>
                <w:szCs w:val="32"/>
                <w:lang w:eastAsia="zh-CN"/>
              </w:rPr>
              <w:t>第二完成单位</w:t>
            </w:r>
          </w:p>
        </w:tc>
        <w:tc>
          <w:tcPr>
            <w:tcW w:w="4765" w:type="dxa"/>
            <w:vAlign w:val="center"/>
          </w:tcPr>
          <w:p w14:paraId="1D6DB9B2">
            <w:pPr>
              <w:adjustRightInd w:val="0"/>
              <w:snapToGrid w:val="0"/>
              <w:spacing w:after="0" w:line="240" w:lineRule="auto"/>
              <w:jc w:val="center"/>
              <w:rPr>
                <w:rFonts w:ascii="仿宋" w:hAnsi="仿宋" w:eastAsia="仿宋"/>
                <w:sz w:val="28"/>
                <w:szCs w:val="32"/>
                <w:lang w:eastAsia="zh-CN"/>
              </w:rPr>
            </w:pPr>
            <w:r>
              <w:rPr>
                <w:rFonts w:hint="eastAsia" w:ascii="仿宋" w:hAnsi="仿宋" w:eastAsia="仿宋"/>
                <w:sz w:val="28"/>
                <w:szCs w:val="32"/>
                <w:lang w:eastAsia="zh-CN"/>
              </w:rPr>
              <w:t>中国科学技术大学</w:t>
            </w:r>
          </w:p>
        </w:tc>
      </w:tr>
    </w:tbl>
    <w:p w14:paraId="4F12D366">
      <w:pPr>
        <w:spacing w:before="240" w:after="120" w:line="576" w:lineRule="exact"/>
        <w:ind w:firstLine="640"/>
        <w:rPr>
          <w:rFonts w:ascii="仿宋" w:hAnsi="仿宋" w:eastAsia="仿宋"/>
          <w:b/>
          <w:bCs/>
          <w:sz w:val="32"/>
          <w:lang w:eastAsia="zh-CN"/>
        </w:rPr>
      </w:pPr>
      <w:r>
        <w:rPr>
          <w:rFonts w:ascii="仿宋" w:hAnsi="仿宋" w:eastAsia="仿宋"/>
          <w:b/>
          <w:bCs/>
          <w:sz w:val="32"/>
          <w:lang w:eastAsia="zh-CN"/>
        </w:rPr>
        <w:t>五、项目简介：</w:t>
      </w:r>
    </w:p>
    <w:p w14:paraId="42AAF1BD">
      <w:pPr>
        <w:keepNext w:val="0"/>
        <w:keepLines w:val="0"/>
        <w:pageBreakBefore w:val="0"/>
        <w:widowControl w:val="0"/>
        <w:kinsoku/>
        <w:wordWrap/>
        <w:overflowPunct/>
        <w:topLinePunct w:val="0"/>
        <w:autoSpaceDE/>
        <w:autoSpaceDN/>
        <w:bidi w:val="0"/>
        <w:adjustRightInd/>
        <w:snapToGrid w:val="0"/>
        <w:spacing w:after="79" w:afterLines="25" w:line="300" w:lineRule="auto"/>
        <w:ind w:firstLine="560" w:firstLineChars="200"/>
        <w:jc w:val="both"/>
        <w:textAlignment w:val="auto"/>
        <w:rPr>
          <w:rFonts w:hint="eastAsia" w:ascii="仿宋" w:hAnsi="仿宋" w:eastAsia="仿宋" w:cs="仿宋"/>
          <w:b w:val="0"/>
          <w:bCs/>
          <w:kern w:val="2"/>
          <w:sz w:val="28"/>
          <w:szCs w:val="28"/>
          <w:lang w:val="en-US" w:eastAsia="zh-CN"/>
        </w:rPr>
      </w:pPr>
      <w:r>
        <w:rPr>
          <w:rFonts w:hint="eastAsia" w:ascii="仿宋" w:hAnsi="仿宋" w:eastAsia="仿宋" w:cs="仿宋"/>
          <w:b w:val="0"/>
          <w:bCs/>
          <w:kern w:val="2"/>
          <w:sz w:val="28"/>
          <w:szCs w:val="28"/>
          <w:lang w:val="en-US" w:eastAsia="zh-CN"/>
        </w:rPr>
        <w:t>含能材料能量释放效率与安全性协同调控是爆炸力学领域的核心科学问题。储氢合金兼具高储氢容量与金属氧化放热双重优势，其“脱氢-氧化”双阶段反应特征为突破传统金属添加剂因表面氧化层阻滞、反应路径单一导致的能量释放瓶颈提供新路径；然而释氢行为不可控、与含能基质相容性差等关键挑战制约了实际应用。项目依托国家自然科学基金面上项目持续资助，围绕“储氢合金在多相含能材料体系中的爆轰能量调控机制”这一科学问题，从胶状、固相、液相三类体系出发，取得以下原创性成果：</w:t>
      </w:r>
    </w:p>
    <w:p w14:paraId="3EF0C7A2">
      <w:pPr>
        <w:keepNext w:val="0"/>
        <w:keepLines w:val="0"/>
        <w:pageBreakBefore w:val="0"/>
        <w:widowControl w:val="0"/>
        <w:kinsoku/>
        <w:wordWrap/>
        <w:overflowPunct/>
        <w:topLinePunct w:val="0"/>
        <w:autoSpaceDE/>
        <w:autoSpaceDN/>
        <w:bidi w:val="0"/>
        <w:adjustRightInd/>
        <w:snapToGrid w:val="0"/>
        <w:spacing w:after="79" w:afterLines="25" w:line="300" w:lineRule="auto"/>
        <w:ind w:firstLine="562" w:firstLineChars="200"/>
        <w:jc w:val="both"/>
        <w:textAlignment w:val="auto"/>
        <w:rPr>
          <w:rFonts w:hint="eastAsia" w:ascii="仿宋" w:hAnsi="仿宋" w:eastAsia="仿宋" w:cs="仿宋"/>
          <w:b w:val="0"/>
          <w:bCs/>
          <w:kern w:val="2"/>
          <w:sz w:val="28"/>
          <w:szCs w:val="28"/>
          <w:lang w:val="en-US" w:eastAsia="zh-CN"/>
        </w:rPr>
      </w:pPr>
      <w:r>
        <w:rPr>
          <w:rFonts w:hint="eastAsia" w:ascii="仿宋" w:hAnsi="仿宋" w:eastAsia="仿宋" w:cs="仿宋"/>
          <w:b/>
          <w:bCs w:val="0"/>
          <w:kern w:val="2"/>
          <w:sz w:val="28"/>
          <w:szCs w:val="28"/>
          <w:lang w:val="en-US" w:eastAsia="zh-CN"/>
        </w:rPr>
        <w:t>一、开创储氢合金在乳化炸药中的应用，建立“含能热点”与“动态敏化”理论。</w:t>
      </w:r>
      <w:r>
        <w:rPr>
          <w:rFonts w:hint="eastAsia" w:ascii="仿宋" w:hAnsi="仿宋" w:eastAsia="仿宋" w:cs="仿宋"/>
          <w:b w:val="0"/>
          <w:bCs/>
          <w:kern w:val="2"/>
          <w:sz w:val="28"/>
          <w:szCs w:val="28"/>
          <w:lang w:val="en-US" w:eastAsia="zh-CN"/>
        </w:rPr>
        <w:t>国际上率先将</w:t>
      </w:r>
      <w:r>
        <w:rPr>
          <w:rFonts w:hint="default" w:ascii="Times New Roman" w:hAnsi="Times New Roman" w:eastAsia="仿宋" w:cs="Times New Roman"/>
          <w:b w:val="0"/>
          <w:bCs/>
          <w:kern w:val="2"/>
          <w:sz w:val="28"/>
          <w:szCs w:val="28"/>
          <w:lang w:val="en-US" w:eastAsia="zh-CN"/>
        </w:rPr>
        <w:t>MgH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/TiH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引入乳化炸药(发明专利CN102432407B、CN102432408B)</w:t>
      </w:r>
      <w:r>
        <w:rPr>
          <w:rFonts w:hint="eastAsia" w:ascii="仿宋" w:hAnsi="仿宋" w:eastAsia="仿宋" w:cs="仿宋"/>
          <w:b w:val="0"/>
          <w:bCs/>
          <w:kern w:val="2"/>
          <w:sz w:val="28"/>
          <w:szCs w:val="28"/>
          <w:lang w:val="en-US" w:eastAsia="zh-CN"/>
        </w:rPr>
        <w:t>，使其兼具敏化与含能双重功能：水解产氢形成热点并参与爆轰，突破传统敏化剂仅提供热点而无能量贡献的</w:t>
      </w:r>
      <w:r>
        <w:rPr>
          <w:rFonts w:hint="default" w:ascii="Times New Roman" w:hAnsi="Times New Roman" w:eastAsia="仿宋" w:cs="Times New Roman"/>
          <w:b w:val="0"/>
          <w:bCs/>
          <w:kern w:val="2"/>
          <w:sz w:val="28"/>
          <w:szCs w:val="28"/>
          <w:lang w:val="en-US" w:eastAsia="zh-CN"/>
        </w:rPr>
        <w:t>局限(</w:t>
      </w:r>
      <w:r>
        <w:rPr>
          <w:rFonts w:hint="default" w:ascii="Times New Roman" w:hAnsi="Times New Roman" w:eastAsia="仿宋" w:cs="Times New Roman"/>
          <w:b w:val="0"/>
          <w:bCs/>
          <w:i/>
          <w:iCs/>
          <w:kern w:val="2"/>
          <w:sz w:val="28"/>
          <w:szCs w:val="28"/>
          <w:lang w:val="en-US" w:eastAsia="zh-CN"/>
        </w:rPr>
        <w:t>含能材料</w:t>
      </w:r>
      <w:r>
        <w:rPr>
          <w:rFonts w:hint="default" w:ascii="Times New Roman" w:hAnsi="Times New Roman" w:eastAsia="仿宋" w:cs="Times New Roman"/>
          <w:b w:val="0"/>
          <w:bCs/>
          <w:kern w:val="2"/>
          <w:sz w:val="28"/>
          <w:szCs w:val="28"/>
          <w:lang w:val="en-US" w:eastAsia="zh-CN"/>
        </w:rPr>
        <w:t>, 2013, 21(2): 268-272)。进一步发现MgH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受冲击压缩释放H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可抵消气泡塌陷，赋予炸药</w:t>
      </w:r>
      <w:r>
        <w:rPr>
          <w:rFonts w:hint="eastAsia" w:ascii="Times New Roman" w:hAnsi="Times New Roman" w:eastAsia="仿宋" w:cs="Times New Roman"/>
          <w:b w:val="0"/>
          <w:bCs/>
          <w:kern w:val="2"/>
          <w:sz w:val="28"/>
          <w:szCs w:val="28"/>
          <w:lang w:val="en-US" w:eastAsia="zh-CN"/>
        </w:rPr>
        <w:t>“</w:t>
      </w:r>
      <w:r>
        <w:rPr>
          <w:rFonts w:hint="default" w:ascii="Times New Roman" w:hAnsi="Times New Roman" w:eastAsia="仿宋" w:cs="Times New Roman"/>
          <w:b w:val="0"/>
          <w:bCs/>
          <w:kern w:val="2"/>
          <w:sz w:val="28"/>
          <w:szCs w:val="28"/>
          <w:lang w:val="en-US" w:eastAsia="zh-CN"/>
        </w:rPr>
        <w:t>动态敏化</w:t>
      </w:r>
      <w:r>
        <w:rPr>
          <w:rFonts w:hint="eastAsia" w:ascii="Times New Roman" w:hAnsi="Times New Roman" w:eastAsia="仿宋" w:cs="Times New Roman"/>
          <w:b w:val="0"/>
          <w:bCs/>
          <w:kern w:val="2"/>
          <w:sz w:val="28"/>
          <w:szCs w:val="28"/>
          <w:lang w:val="en-US" w:eastAsia="zh-CN"/>
        </w:rPr>
        <w:t>”</w:t>
      </w:r>
      <w:r>
        <w:rPr>
          <w:rFonts w:hint="default" w:ascii="Times New Roman" w:hAnsi="Times New Roman" w:eastAsia="仿宋" w:cs="Times New Roman"/>
          <w:b w:val="0"/>
          <w:bCs/>
          <w:kern w:val="2"/>
          <w:sz w:val="28"/>
          <w:szCs w:val="28"/>
          <w:lang w:val="en-US" w:eastAsia="zh-CN"/>
        </w:rPr>
        <w:t>特性，显著提升深水抗压能</w:t>
      </w:r>
      <w:r>
        <w:rPr>
          <w:rFonts w:hint="eastAsia" w:ascii="仿宋" w:hAnsi="仿宋" w:eastAsia="仿宋" w:cs="仿宋"/>
          <w:b w:val="0"/>
          <w:bCs/>
          <w:kern w:val="2"/>
          <w:sz w:val="28"/>
          <w:szCs w:val="28"/>
          <w:lang w:val="en-US" w:eastAsia="zh-CN"/>
        </w:rPr>
        <w:t>力</w:t>
      </w:r>
      <w:r>
        <w:rPr>
          <w:rFonts w:hint="default" w:ascii="Times New Roman" w:hAnsi="Times New Roman" w:eastAsia="仿宋" w:cs="Times New Roman"/>
          <w:b w:val="0"/>
          <w:bCs/>
          <w:kern w:val="2"/>
          <w:sz w:val="28"/>
          <w:szCs w:val="28"/>
          <w:lang w:val="en-US" w:eastAsia="zh-CN"/>
        </w:rPr>
        <w:t>(</w:t>
      </w:r>
      <w:r>
        <w:rPr>
          <w:rFonts w:hint="default" w:ascii="Times New Roman" w:hAnsi="Times New Roman" w:eastAsia="仿宋" w:cs="Times New Roman"/>
          <w:b w:val="0"/>
          <w:bCs/>
          <w:i/>
          <w:iCs/>
          <w:kern w:val="2"/>
          <w:sz w:val="28"/>
          <w:szCs w:val="28"/>
          <w:lang w:val="en-US" w:eastAsia="zh-CN"/>
        </w:rPr>
        <w:t>Shock Waves</w:t>
      </w:r>
      <w:r>
        <w:rPr>
          <w:rFonts w:hint="default" w:ascii="Times New Roman" w:hAnsi="Times New Roman" w:eastAsia="仿宋" w:cs="Times New Roman"/>
          <w:b w:val="0"/>
          <w:bCs/>
          <w:kern w:val="2"/>
          <w:sz w:val="28"/>
          <w:szCs w:val="28"/>
          <w:lang w:val="en-US" w:eastAsia="zh-CN"/>
        </w:rPr>
        <w:t>, 2016, 26(2): 213-219)</w:t>
      </w:r>
      <w:r>
        <w:rPr>
          <w:rFonts w:hint="eastAsia" w:ascii="仿宋" w:hAnsi="仿宋" w:eastAsia="仿宋" w:cs="仿宋"/>
          <w:b w:val="0"/>
          <w:bCs/>
          <w:kern w:val="2"/>
          <w:sz w:val="28"/>
          <w:szCs w:val="28"/>
          <w:lang w:val="en-US" w:eastAsia="zh-CN"/>
        </w:rPr>
        <w:t>，解决了乳化炸药“压力减敏”行业共性难题。据此建立“固-气”双层热点模型，将凝聚相炸药热点理论从被动加热拓展至主动释能新范畴。该储氢型乳化炸药猛度实测值与军用RDX相当，兼具民用高效爆破与军事毁伤能力，形成具有自主知识产权的军民两用含能材料新体系。俄罗斯科学院</w:t>
      </w:r>
      <w:r>
        <w:rPr>
          <w:rFonts w:hint="default" w:ascii="Times New Roman" w:hAnsi="Times New Roman" w:eastAsia="仿宋" w:cs="Times New Roman"/>
          <w:b w:val="0"/>
          <w:bCs/>
          <w:kern w:val="2"/>
          <w:sz w:val="28"/>
          <w:szCs w:val="28"/>
          <w:lang w:val="en-US" w:eastAsia="zh-CN"/>
        </w:rPr>
        <w:t>Yunoshev教授在</w:t>
      </w:r>
      <w:r>
        <w:rPr>
          <w:rFonts w:hint="default" w:ascii="Times New Roman" w:hAnsi="Times New Roman" w:eastAsia="仿宋" w:cs="Times New Roman"/>
          <w:b w:val="0"/>
          <w:bCs/>
          <w:i/>
          <w:iCs/>
          <w:kern w:val="2"/>
          <w:sz w:val="28"/>
          <w:szCs w:val="28"/>
          <w:lang w:val="en-US" w:eastAsia="zh-CN"/>
        </w:rPr>
        <w:t>Combustion, Explosion, and Shock Waves</w:t>
      </w:r>
      <w:r>
        <w:rPr>
          <w:rFonts w:hint="default" w:ascii="Times New Roman" w:hAnsi="Times New Roman" w:eastAsia="仿宋" w:cs="Times New Roman"/>
          <w:b w:val="0"/>
          <w:bCs/>
          <w:kern w:val="2"/>
          <w:sz w:val="28"/>
          <w:szCs w:val="28"/>
          <w:lang w:val="en-US" w:eastAsia="zh-CN"/>
        </w:rPr>
        <w:t>(2017, 53(2): 205-210)</w:t>
      </w:r>
      <w:r>
        <w:rPr>
          <w:rFonts w:hint="eastAsia" w:ascii="仿宋" w:hAnsi="仿宋" w:eastAsia="仿宋" w:cs="仿宋"/>
          <w:b w:val="0"/>
          <w:bCs/>
          <w:kern w:val="2"/>
          <w:sz w:val="28"/>
          <w:szCs w:val="28"/>
          <w:lang w:val="en-US" w:eastAsia="zh-CN"/>
        </w:rPr>
        <w:t>上重点介绍了该项工作，认为“是非常有新意的炸药增能方法”。</w:t>
      </w:r>
    </w:p>
    <w:p w14:paraId="1A6CBA54">
      <w:pPr>
        <w:keepNext w:val="0"/>
        <w:keepLines w:val="0"/>
        <w:pageBreakBefore w:val="0"/>
        <w:widowControl w:val="0"/>
        <w:kinsoku/>
        <w:wordWrap/>
        <w:overflowPunct/>
        <w:topLinePunct w:val="0"/>
        <w:autoSpaceDE/>
        <w:autoSpaceDN/>
        <w:bidi w:val="0"/>
        <w:adjustRightInd/>
        <w:snapToGrid w:val="0"/>
        <w:spacing w:after="79" w:afterLines="25" w:line="300" w:lineRule="auto"/>
        <w:ind w:firstLine="562" w:firstLineChars="200"/>
        <w:jc w:val="both"/>
        <w:textAlignment w:val="auto"/>
        <w:rPr>
          <w:rFonts w:hint="eastAsia" w:ascii="仿宋" w:hAnsi="仿宋" w:eastAsia="仿宋" w:cs="仿宋"/>
          <w:b w:val="0"/>
          <w:bCs/>
          <w:kern w:val="2"/>
          <w:sz w:val="28"/>
          <w:szCs w:val="28"/>
          <w:lang w:val="en-US" w:eastAsia="zh-CN"/>
        </w:rPr>
      </w:pPr>
      <w:r>
        <w:rPr>
          <w:rFonts w:hint="eastAsia" w:ascii="仿宋" w:hAnsi="仿宋" w:eastAsia="仿宋" w:cs="仿宋"/>
          <w:b/>
          <w:bCs w:val="0"/>
          <w:kern w:val="2"/>
          <w:sz w:val="28"/>
          <w:szCs w:val="28"/>
          <w:lang w:val="en-US" w:eastAsia="zh-CN"/>
        </w:rPr>
        <w:t>二、揭示储氢合金在固相与液相双体系中的军用炸药能量增强机理。</w:t>
      </w:r>
      <w:r>
        <w:rPr>
          <w:rFonts w:hint="default" w:ascii="Times New Roman" w:hAnsi="Times New Roman" w:eastAsia="仿宋" w:cs="Times New Roman"/>
          <w:b w:val="0"/>
          <w:bCs/>
          <w:kern w:val="2"/>
          <w:sz w:val="28"/>
          <w:szCs w:val="28"/>
          <w:lang w:val="en-US" w:eastAsia="zh-CN"/>
        </w:rPr>
        <w:t>固相温压炸药体系中，以TiH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粉尘为模型，系统研究等压燃烧与密闭爆炸火焰传播规律，发现TiH₂火焰传播速度最高可达Ti粉</w:t>
      </w:r>
      <w:r>
        <w:rPr>
          <w:rFonts w:hint="eastAsia" w:ascii="仿宋" w:hAnsi="仿宋" w:eastAsia="仿宋" w:cs="仿宋"/>
          <w:b w:val="0"/>
          <w:bCs/>
          <w:kern w:val="2"/>
          <w:sz w:val="28"/>
          <w:szCs w:val="28"/>
          <w:lang w:val="en-US" w:eastAsia="zh-CN"/>
        </w:rPr>
        <w:t>近</w:t>
      </w:r>
      <w:r>
        <w:rPr>
          <w:rFonts w:hint="default" w:ascii="Times New Roman" w:hAnsi="Times New Roman" w:eastAsia="仿宋" w:cs="Times New Roman"/>
          <w:b w:val="0"/>
          <w:bCs/>
          <w:kern w:val="2"/>
          <w:sz w:val="28"/>
          <w:szCs w:val="28"/>
          <w:lang w:val="en-US" w:eastAsia="zh-CN"/>
        </w:rPr>
        <w:t>10</w:t>
      </w:r>
      <w:r>
        <w:rPr>
          <w:rFonts w:hint="eastAsia" w:ascii="仿宋" w:hAnsi="仿宋" w:eastAsia="仿宋" w:cs="仿宋"/>
          <w:b w:val="0"/>
          <w:bCs/>
          <w:kern w:val="2"/>
          <w:sz w:val="28"/>
          <w:szCs w:val="28"/>
          <w:lang w:val="en-US" w:eastAsia="zh-CN"/>
        </w:rPr>
        <w:t>倍，燃烧遵循“脱氢→氢气燃烧→金属氧化”时序：氢气燃烧加速</w:t>
      </w:r>
      <w:r>
        <w:rPr>
          <w:rFonts w:hint="default" w:ascii="Times New Roman" w:hAnsi="Times New Roman" w:eastAsia="仿宋" w:cs="Times New Roman"/>
          <w:b w:val="0"/>
          <w:bCs/>
          <w:kern w:val="2"/>
          <w:sz w:val="28"/>
          <w:szCs w:val="28"/>
          <w:lang w:val="en-US" w:eastAsia="zh-CN"/>
        </w:rPr>
        <w:t>气相反应，颗粒破碎致比表面积剧增、氧化速率提升数倍，阐明粉尘粒径(5.3～27.8 μm)对爆炸压力及火焰温度的定量影响(</w:t>
      </w:r>
      <w:r>
        <w:rPr>
          <w:rFonts w:hint="default" w:ascii="Times New Roman" w:hAnsi="Times New Roman" w:eastAsia="仿宋" w:cs="Times New Roman"/>
          <w:b w:val="0"/>
          <w:bCs/>
          <w:i/>
          <w:iCs/>
          <w:kern w:val="2"/>
          <w:sz w:val="28"/>
          <w:szCs w:val="28"/>
          <w:lang w:val="en-US" w:eastAsia="zh-CN"/>
        </w:rPr>
        <w:t>Combust. Flame</w:t>
      </w:r>
      <w:r>
        <w:rPr>
          <w:rFonts w:hint="default" w:ascii="Times New Roman" w:hAnsi="Times New Roman" w:eastAsia="仿宋" w:cs="Times New Roman"/>
          <w:b w:val="0"/>
          <w:bCs/>
          <w:kern w:val="2"/>
          <w:sz w:val="28"/>
          <w:szCs w:val="28"/>
          <w:lang w:val="en-US" w:eastAsia="zh-CN"/>
        </w:rPr>
        <w:t>, 2025, 273: 113932)。液相云爆体系中，以环氧丙烷为基体，TiH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/MgH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使爆燃超压较纯PO提高33.5%、较Al/PO提高22.2%，系统调控粒径与含量，发现45%含量时毁伤最优(</w:t>
      </w:r>
      <w:r>
        <w:rPr>
          <w:rFonts w:hint="default" w:ascii="Times New Roman" w:hAnsi="Times New Roman" w:eastAsia="仿宋" w:cs="Times New Roman"/>
          <w:b w:val="0"/>
          <w:bCs/>
          <w:i/>
          <w:iCs/>
          <w:kern w:val="2"/>
          <w:sz w:val="28"/>
          <w:szCs w:val="28"/>
          <w:lang w:val="en-US" w:eastAsia="zh-CN"/>
        </w:rPr>
        <w:t>兵工学报</w:t>
      </w:r>
      <w:r>
        <w:rPr>
          <w:rFonts w:hint="default" w:ascii="Times New Roman" w:hAnsi="Times New Roman" w:eastAsia="仿宋" w:cs="Times New Roman"/>
          <w:b w:val="0"/>
          <w:bCs/>
          <w:kern w:val="2"/>
          <w:sz w:val="28"/>
          <w:szCs w:val="28"/>
          <w:lang w:val="en-US" w:eastAsia="zh-CN"/>
        </w:rPr>
        <w:t>,2026, 47(2): 354-364)。上述</w:t>
      </w:r>
      <w:r>
        <w:rPr>
          <w:rFonts w:hint="eastAsia" w:ascii="仿宋" w:hAnsi="仿宋" w:eastAsia="仿宋" w:cs="仿宋"/>
          <w:b w:val="0"/>
          <w:bCs/>
          <w:kern w:val="2"/>
          <w:sz w:val="28"/>
          <w:szCs w:val="28"/>
          <w:lang w:val="en-US" w:eastAsia="zh-CN"/>
        </w:rPr>
        <w:t>研究系统揭示氢气存在形式(化合态/游离态)对气-固两相燃烧互馈效应的调控机制，为储氢型温压炸药与云爆燃料配方优化提供统一理论框架。</w:t>
      </w:r>
    </w:p>
    <w:p w14:paraId="4F5E3F77">
      <w:pPr>
        <w:keepNext w:val="0"/>
        <w:keepLines w:val="0"/>
        <w:pageBreakBefore w:val="0"/>
        <w:widowControl w:val="0"/>
        <w:kinsoku/>
        <w:wordWrap/>
        <w:overflowPunct/>
        <w:topLinePunct w:val="0"/>
        <w:autoSpaceDE/>
        <w:autoSpaceDN/>
        <w:bidi w:val="0"/>
        <w:adjustRightInd/>
        <w:snapToGrid w:val="0"/>
        <w:spacing w:after="79" w:afterLines="25" w:line="300" w:lineRule="auto"/>
        <w:ind w:firstLine="562" w:firstLineChars="200"/>
        <w:jc w:val="both"/>
        <w:textAlignment w:val="auto"/>
        <w:rPr>
          <w:rFonts w:hint="eastAsia" w:ascii="仿宋" w:hAnsi="仿宋" w:eastAsia="仿宋" w:cs="仿宋"/>
          <w:b w:val="0"/>
          <w:bCs/>
          <w:kern w:val="2"/>
          <w:sz w:val="28"/>
          <w:szCs w:val="28"/>
          <w:lang w:val="en-US" w:eastAsia="zh-CN"/>
        </w:rPr>
      </w:pPr>
      <w:r>
        <w:rPr>
          <w:rFonts w:hint="eastAsia" w:ascii="仿宋" w:hAnsi="仿宋" w:eastAsia="仿宋" w:cs="仿宋"/>
          <w:b/>
          <w:bCs w:val="0"/>
          <w:kern w:val="2"/>
          <w:sz w:val="28"/>
          <w:szCs w:val="28"/>
          <w:lang w:val="en-US" w:eastAsia="zh-CN"/>
        </w:rPr>
        <w:t>三、发展储氢合金功能微囊可控制备技术，实现多相体系相容性与释氢行为精准调控。</w:t>
      </w:r>
      <w:r>
        <w:rPr>
          <w:rFonts w:hint="eastAsia" w:ascii="仿宋" w:hAnsi="仿宋" w:eastAsia="仿宋" w:cs="仿宋"/>
          <w:b w:val="0"/>
          <w:bCs/>
          <w:kern w:val="2"/>
          <w:sz w:val="28"/>
          <w:szCs w:val="28"/>
          <w:lang w:val="en-US" w:eastAsia="zh-CN"/>
        </w:rPr>
        <w:t>发明热膨胀中空微囊包覆及多核中空含能微囊技术</w:t>
      </w:r>
      <w:r>
        <w:rPr>
          <w:rFonts w:hint="default" w:ascii="Times New Roman" w:hAnsi="Times New Roman" w:eastAsia="仿宋" w:cs="Times New Roman"/>
          <w:b w:val="0"/>
          <w:bCs/>
          <w:kern w:val="2"/>
          <w:sz w:val="28"/>
          <w:szCs w:val="28"/>
          <w:lang w:val="en-US" w:eastAsia="zh-CN"/>
        </w:rPr>
        <w:t>(CN109096023B)，以PMMA壳体封装储氢合金，利用其透H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阻O</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/H</w:t>
      </w:r>
      <w:r>
        <w:rPr>
          <w:rFonts w:hint="default" w:ascii="Times New Roman" w:hAnsi="Times New Roman" w:eastAsia="仿宋" w:cs="Times New Roman"/>
          <w:b w:val="0"/>
          <w:bCs/>
          <w:kern w:val="2"/>
          <w:sz w:val="28"/>
          <w:szCs w:val="28"/>
          <w:vertAlign w:val="subscript"/>
          <w:lang w:val="en-US" w:eastAsia="zh-CN"/>
        </w:rPr>
        <w:t>2</w:t>
      </w:r>
      <w:r>
        <w:rPr>
          <w:rFonts w:hint="default" w:ascii="Times New Roman" w:hAnsi="Times New Roman" w:eastAsia="仿宋" w:cs="Times New Roman"/>
          <w:b w:val="0"/>
          <w:bCs/>
          <w:kern w:val="2"/>
          <w:sz w:val="28"/>
          <w:szCs w:val="28"/>
          <w:lang w:val="en-US" w:eastAsia="zh-CN"/>
        </w:rPr>
        <w:t>O的选择透过性，在乳化基质中储存三月以上无破乳，相容性与稳定性显著提升(</w:t>
      </w:r>
      <w:r>
        <w:rPr>
          <w:rFonts w:hint="default" w:ascii="Times New Roman" w:hAnsi="Times New Roman" w:eastAsia="仿宋" w:cs="Times New Roman"/>
          <w:b w:val="0"/>
          <w:bCs/>
          <w:i/>
          <w:iCs/>
          <w:kern w:val="2"/>
          <w:sz w:val="28"/>
          <w:szCs w:val="28"/>
          <w:lang w:val="en-US" w:eastAsia="zh-CN"/>
        </w:rPr>
        <w:t>含能材料</w:t>
      </w:r>
      <w:r>
        <w:rPr>
          <w:rFonts w:hint="default" w:ascii="Times New Roman" w:hAnsi="Times New Roman" w:eastAsia="仿宋" w:cs="Times New Roman"/>
          <w:b w:val="0"/>
          <w:bCs/>
          <w:kern w:val="2"/>
          <w:sz w:val="28"/>
          <w:szCs w:val="28"/>
          <w:lang w:val="en-US" w:eastAsia="zh-CN"/>
        </w:rPr>
        <w:t>, 2019, 27(9): 792-800)</w:t>
      </w:r>
      <w:r>
        <w:rPr>
          <w:rFonts w:hint="eastAsia" w:ascii="仿宋" w:hAnsi="仿宋" w:eastAsia="仿宋" w:cs="仿宋"/>
          <w:b w:val="0"/>
          <w:bCs/>
          <w:kern w:val="2"/>
          <w:sz w:val="28"/>
          <w:szCs w:val="28"/>
          <w:lang w:val="en-US" w:eastAsia="zh-CN"/>
        </w:rPr>
        <w:t>。发明双层壳体耐压剂</w:t>
      </w:r>
      <w:r>
        <w:rPr>
          <w:rFonts w:hint="default" w:ascii="Times New Roman" w:hAnsi="Times New Roman" w:eastAsia="仿宋" w:cs="Times New Roman"/>
          <w:b w:val="0"/>
          <w:bCs/>
          <w:kern w:val="2"/>
          <w:sz w:val="28"/>
          <w:szCs w:val="28"/>
          <w:lang w:val="en-US" w:eastAsia="zh-CN"/>
        </w:rPr>
        <w:t>(CN108997071B)，压力超限时生成新敏化气泡，为动压/静压环境提供双重保障。耶鲁大学Kim教授在</w:t>
      </w:r>
      <w:r>
        <w:rPr>
          <w:rFonts w:hint="default" w:ascii="Times New Roman" w:hAnsi="Times New Roman" w:eastAsia="仿宋" w:cs="Times New Roman"/>
          <w:b w:val="0"/>
          <w:bCs/>
          <w:i/>
          <w:iCs/>
          <w:kern w:val="2"/>
          <w:sz w:val="28"/>
          <w:szCs w:val="28"/>
          <w:lang w:val="en-US" w:eastAsia="zh-CN"/>
        </w:rPr>
        <w:t>Nature C</w:t>
      </w:r>
      <w:r>
        <w:rPr>
          <w:rFonts w:hint="default" w:ascii="Times New Roman" w:hAnsi="Times New Roman" w:eastAsia="仿宋" w:cs="Times New Roman"/>
          <w:b w:val="0"/>
          <w:bCs/>
          <w:kern w:val="2"/>
          <w:sz w:val="28"/>
          <w:szCs w:val="28"/>
          <w:lang w:val="en-US" w:eastAsia="zh-CN"/>
        </w:rPr>
        <w:t>ommunications(2021, 12: 3768)</w:t>
      </w:r>
      <w:r>
        <w:rPr>
          <w:rFonts w:hint="eastAsia" w:ascii="仿宋" w:hAnsi="仿宋" w:eastAsia="仿宋" w:cs="仿宋"/>
          <w:b w:val="0"/>
          <w:bCs/>
          <w:kern w:val="2"/>
          <w:sz w:val="28"/>
          <w:szCs w:val="28"/>
          <w:lang w:val="en-US" w:eastAsia="zh-CN"/>
        </w:rPr>
        <w:t>中借鉴该微囊合成方法并给予高度评价。微囊技术将敏化剂与含能添加剂功能合二为一，为高能钝感炸药设计提供通用策略。</w:t>
      </w:r>
    </w:p>
    <w:p w14:paraId="2AF6F035">
      <w:pPr>
        <w:keepNext w:val="0"/>
        <w:keepLines w:val="0"/>
        <w:pageBreakBefore w:val="0"/>
        <w:kinsoku/>
        <w:wordWrap/>
        <w:overflowPunct/>
        <w:topLinePunct w:val="0"/>
        <w:autoSpaceDE/>
        <w:autoSpaceDN/>
        <w:bidi w:val="0"/>
        <w:adjustRightInd/>
        <w:snapToGrid w:val="0"/>
        <w:spacing w:before="120" w:after="120" w:line="300" w:lineRule="auto"/>
        <w:ind w:firstLine="640"/>
        <w:textAlignment w:val="auto"/>
        <w:rPr>
          <w:rFonts w:hint="eastAsia" w:ascii="仿宋" w:hAnsi="仿宋" w:eastAsia="仿宋" w:cs="仿宋"/>
          <w:sz w:val="28"/>
          <w:szCs w:val="28"/>
          <w:lang w:eastAsia="zh-CN"/>
        </w:rPr>
      </w:pPr>
      <w:r>
        <w:rPr>
          <w:rFonts w:hint="eastAsia" w:ascii="仿宋" w:hAnsi="仿宋" w:eastAsia="仿宋" w:cs="仿宋"/>
          <w:b w:val="0"/>
          <w:bCs/>
          <w:kern w:val="2"/>
          <w:sz w:val="28"/>
          <w:szCs w:val="28"/>
          <w:lang w:val="en-US" w:eastAsia="zh-CN"/>
        </w:rPr>
        <w:t>该项目形成从基础理论、核心技术到工程应用的完整创新链。多篇代表性论文发表于</w:t>
      </w:r>
      <w:r>
        <w:rPr>
          <w:rFonts w:hint="default" w:ascii="Times New Roman" w:hAnsi="Times New Roman" w:eastAsia="仿宋" w:cs="Times New Roman"/>
          <w:b w:val="0"/>
          <w:bCs/>
          <w:i/>
          <w:iCs/>
          <w:kern w:val="2"/>
          <w:sz w:val="28"/>
          <w:szCs w:val="28"/>
          <w:lang w:val="en-US" w:eastAsia="zh-CN"/>
        </w:rPr>
        <w:t>Combustion and Flame</w:t>
      </w:r>
      <w:r>
        <w:rPr>
          <w:rFonts w:hint="default" w:ascii="Times New Roman" w:hAnsi="Times New Roman" w:eastAsia="仿宋" w:cs="Times New Roman"/>
          <w:b w:val="0"/>
          <w:bCs/>
          <w:kern w:val="2"/>
          <w:sz w:val="28"/>
          <w:szCs w:val="28"/>
          <w:lang w:val="en-US" w:eastAsia="zh-CN"/>
        </w:rPr>
        <w:t>、</w:t>
      </w:r>
      <w:r>
        <w:rPr>
          <w:rFonts w:hint="default" w:ascii="Times New Roman" w:hAnsi="Times New Roman" w:eastAsia="仿宋" w:cs="Times New Roman"/>
          <w:b w:val="0"/>
          <w:bCs/>
          <w:i/>
          <w:iCs/>
          <w:kern w:val="2"/>
          <w:sz w:val="28"/>
          <w:szCs w:val="28"/>
          <w:lang w:val="en-US" w:eastAsia="zh-CN"/>
        </w:rPr>
        <w:t>Defence Technology</w:t>
      </w:r>
      <w:r>
        <w:rPr>
          <w:rFonts w:hint="default" w:ascii="Times New Roman" w:hAnsi="Times New Roman" w:eastAsia="仿宋" w:cs="Times New Roman"/>
          <w:b w:val="0"/>
          <w:bCs/>
          <w:kern w:val="2"/>
          <w:sz w:val="28"/>
          <w:szCs w:val="28"/>
          <w:lang w:val="en-US" w:eastAsia="zh-CN"/>
        </w:rPr>
        <w:t>等燃烧</w:t>
      </w:r>
      <w:r>
        <w:rPr>
          <w:rFonts w:hint="eastAsia" w:ascii="仿宋" w:hAnsi="仿宋" w:eastAsia="仿宋" w:cs="仿宋"/>
          <w:b w:val="0"/>
          <w:bCs/>
          <w:kern w:val="2"/>
          <w:sz w:val="28"/>
          <w:szCs w:val="28"/>
          <w:lang w:val="en-US" w:eastAsia="zh-CN"/>
        </w:rPr>
        <w:t>、爆炸领域权威期刊，受到俄罗斯科学院、耶鲁大学、德克萨斯农工大学等机构同行的持续关注与正面引用，核心发明专利已转化应用。研究成果为多相含能材料高效能量释放与安全性协同调控提供了新原理与新方法，对高能钝感炸药、温压武器及云爆武器等领域的理论发展具有重要学术价值。</w:t>
      </w:r>
    </w:p>
    <w:p w14:paraId="6B2AF612">
      <w:pPr>
        <w:spacing w:before="240" w:after="120" w:line="576" w:lineRule="exact"/>
        <w:ind w:firstLine="640"/>
        <w:rPr>
          <w:rFonts w:ascii="仿宋" w:hAnsi="仿宋" w:eastAsia="仿宋"/>
          <w:b/>
          <w:bCs/>
          <w:sz w:val="32"/>
          <w:lang w:eastAsia="zh-CN"/>
        </w:rPr>
      </w:pPr>
    </w:p>
    <w:p w14:paraId="4FAC154B">
      <w:pPr>
        <w:spacing w:before="240" w:after="120" w:line="576" w:lineRule="exact"/>
        <w:ind w:firstLine="640"/>
        <w:rPr>
          <w:rFonts w:ascii="仿宋" w:hAnsi="仿宋" w:eastAsia="仿宋"/>
          <w:b/>
          <w:bCs/>
          <w:sz w:val="32"/>
          <w:lang w:eastAsia="zh-CN"/>
        </w:rPr>
      </w:pPr>
    </w:p>
    <w:p w14:paraId="0CB27179">
      <w:pPr>
        <w:spacing w:before="240" w:after="120" w:line="576" w:lineRule="exact"/>
        <w:ind w:firstLine="640"/>
        <w:rPr>
          <w:rFonts w:ascii="仿宋" w:hAnsi="仿宋" w:eastAsia="仿宋"/>
          <w:b/>
          <w:bCs/>
          <w:sz w:val="32"/>
          <w:lang w:eastAsia="zh-CN"/>
        </w:rPr>
      </w:pPr>
    </w:p>
    <w:p w14:paraId="771C5896">
      <w:pPr>
        <w:spacing w:before="240" w:after="120" w:line="576" w:lineRule="exact"/>
        <w:ind w:firstLine="640"/>
        <w:rPr>
          <w:rFonts w:ascii="仿宋" w:hAnsi="仿宋" w:eastAsia="仿宋"/>
          <w:b/>
          <w:bCs/>
          <w:sz w:val="32"/>
          <w:lang w:eastAsia="zh-CN"/>
        </w:rPr>
      </w:pPr>
    </w:p>
    <w:p w14:paraId="468B5AF2">
      <w:pPr>
        <w:spacing w:before="240" w:after="120" w:line="576" w:lineRule="exact"/>
        <w:ind w:firstLine="640"/>
        <w:rPr>
          <w:rFonts w:ascii="仿宋" w:hAnsi="仿宋" w:eastAsia="仿宋"/>
          <w:b/>
          <w:bCs/>
          <w:sz w:val="32"/>
          <w:lang w:eastAsia="zh-CN"/>
        </w:rPr>
      </w:pPr>
    </w:p>
    <w:p w14:paraId="618A3F51">
      <w:pPr>
        <w:rPr>
          <w:rFonts w:ascii="仿宋" w:hAnsi="仿宋" w:eastAsia="仿宋"/>
          <w:b/>
          <w:bCs/>
          <w:sz w:val="32"/>
          <w:lang w:eastAsia="zh-CN"/>
        </w:rPr>
      </w:pPr>
      <w:r>
        <w:rPr>
          <w:rFonts w:ascii="仿宋" w:hAnsi="仿宋" w:eastAsia="仿宋"/>
          <w:b/>
          <w:bCs/>
          <w:sz w:val="32"/>
          <w:lang w:eastAsia="zh-CN"/>
        </w:rPr>
        <w:br w:type="page"/>
      </w:r>
    </w:p>
    <w:p w14:paraId="338235B7">
      <w:pPr>
        <w:spacing w:before="240" w:after="120" w:line="576" w:lineRule="exact"/>
        <w:rPr>
          <w:rFonts w:ascii="仿宋" w:hAnsi="仿宋" w:eastAsia="仿宋"/>
          <w:b/>
          <w:bCs/>
          <w:sz w:val="32"/>
          <w:lang w:eastAsia="zh-CN"/>
        </w:rPr>
        <w:sectPr>
          <w:pgSz w:w="11906" w:h="16838"/>
          <w:pgMar w:top="2098" w:right="1474" w:bottom="1984" w:left="1587" w:header="720" w:footer="720" w:gutter="0"/>
          <w:cols w:space="720" w:num="1"/>
          <w:docGrid w:linePitch="360" w:charSpace="0"/>
        </w:sectPr>
      </w:pPr>
    </w:p>
    <w:p w14:paraId="3146D3C1">
      <w:pPr>
        <w:spacing w:before="240" w:after="120" w:line="576" w:lineRule="exact"/>
        <w:rPr>
          <w:b/>
          <w:bCs/>
          <w:lang w:eastAsia="zh-CN"/>
        </w:rPr>
      </w:pPr>
      <w:r>
        <w:rPr>
          <w:rFonts w:ascii="仿宋" w:hAnsi="仿宋" w:eastAsia="仿宋"/>
          <w:b/>
          <w:bCs/>
          <w:sz w:val="32"/>
          <w:lang w:eastAsia="zh-CN"/>
        </w:rPr>
        <w:t>六、</w:t>
      </w:r>
      <w:r>
        <w:rPr>
          <w:rFonts w:hint="eastAsia" w:ascii="仿宋" w:hAnsi="仿宋" w:eastAsia="仿宋"/>
          <w:b/>
          <w:bCs/>
          <w:sz w:val="32"/>
          <w:lang w:eastAsia="zh-CN"/>
        </w:rPr>
        <w:t>代表性论文专著目录</w:t>
      </w:r>
      <w:r>
        <w:rPr>
          <w:rFonts w:ascii="仿宋" w:hAnsi="仿宋" w:eastAsia="仿宋"/>
          <w:b/>
          <w:bCs/>
          <w:sz w:val="32"/>
          <w:lang w:eastAsia="zh-CN"/>
        </w:rPr>
        <w:t>：</w:t>
      </w:r>
    </w:p>
    <w:tbl>
      <w:tblPr>
        <w:tblStyle w:val="33"/>
        <w:tblW w:w="146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2"/>
        <w:gridCol w:w="6187"/>
        <w:gridCol w:w="1301"/>
        <w:gridCol w:w="1850"/>
        <w:gridCol w:w="924"/>
        <w:gridCol w:w="1000"/>
        <w:gridCol w:w="1763"/>
        <w:gridCol w:w="1087"/>
      </w:tblGrid>
      <w:tr w14:paraId="045C1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492" w:type="dxa"/>
            <w:noWrap w:val="0"/>
            <w:vAlign w:val="center"/>
          </w:tcPr>
          <w:p w14:paraId="768C505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1" w:name="_Toc9378"/>
            <w:r>
              <w:rPr>
                <w:rFonts w:ascii="Times New Roman" w:hAnsi="Times New Roman" w:eastAsia="黑体" w:cs="Times New Roman"/>
                <w:bCs/>
                <w:kern w:val="2"/>
                <w:sz w:val="21"/>
                <w:szCs w:val="21"/>
                <w:lang w:val="en-US" w:eastAsia="zh-CN" w:bidi="ar-SA"/>
              </w:rPr>
              <w:t>序号</w:t>
            </w:r>
            <w:bookmarkEnd w:id="1"/>
          </w:p>
        </w:tc>
        <w:tc>
          <w:tcPr>
            <w:tcW w:w="6187" w:type="dxa"/>
            <w:noWrap w:val="0"/>
            <w:vAlign w:val="center"/>
          </w:tcPr>
          <w:p w14:paraId="3DBF00E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2" w:name="_Toc2914"/>
            <w:r>
              <w:rPr>
                <w:rFonts w:ascii="Times New Roman" w:hAnsi="Times New Roman" w:eastAsia="黑体" w:cs="Times New Roman"/>
                <w:bCs/>
                <w:kern w:val="2"/>
                <w:sz w:val="21"/>
                <w:szCs w:val="21"/>
                <w:lang w:val="en-US" w:eastAsia="zh-CN" w:bidi="ar-SA"/>
              </w:rPr>
              <w:t>论文（专著</w:t>
            </w:r>
            <w:bookmarkEnd w:id="2"/>
            <w:r>
              <w:rPr>
                <w:rFonts w:ascii="Times New Roman" w:hAnsi="Times New Roman" w:eastAsia="黑体" w:cs="Times New Roman"/>
                <w:bCs/>
                <w:kern w:val="2"/>
                <w:sz w:val="21"/>
                <w:szCs w:val="21"/>
                <w:lang w:val="en-US" w:eastAsia="zh-CN" w:bidi="ar-SA"/>
              </w:rPr>
              <w:t>）</w:t>
            </w:r>
            <w:bookmarkStart w:id="3" w:name="_Toc27847"/>
            <w:r>
              <w:rPr>
                <w:rFonts w:ascii="Times New Roman" w:hAnsi="Times New Roman" w:eastAsia="黑体" w:cs="Times New Roman"/>
                <w:bCs/>
                <w:kern w:val="2"/>
                <w:sz w:val="21"/>
                <w:szCs w:val="21"/>
                <w:lang w:val="en-US" w:eastAsia="zh-CN" w:bidi="ar-SA"/>
              </w:rPr>
              <w:t>名称/刊名</w:t>
            </w:r>
            <w:bookmarkEnd w:id="3"/>
            <w:bookmarkStart w:id="4" w:name="_Toc730"/>
            <w:r>
              <w:rPr>
                <w:rFonts w:ascii="Times New Roman" w:hAnsi="Times New Roman" w:eastAsia="黑体" w:cs="Times New Roman"/>
                <w:bCs/>
                <w:kern w:val="2"/>
                <w:sz w:val="21"/>
                <w:szCs w:val="21"/>
                <w:lang w:val="en-US" w:eastAsia="zh-CN" w:bidi="ar-SA"/>
              </w:rPr>
              <w:t>/作者</w:t>
            </w:r>
            <w:bookmarkEnd w:id="4"/>
          </w:p>
        </w:tc>
        <w:tc>
          <w:tcPr>
            <w:tcW w:w="1301" w:type="dxa"/>
            <w:noWrap w:val="0"/>
            <w:vAlign w:val="center"/>
          </w:tcPr>
          <w:p w14:paraId="25F284D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5" w:name="_Toc15771"/>
            <w:r>
              <w:rPr>
                <w:rFonts w:ascii="Times New Roman" w:hAnsi="Times New Roman" w:eastAsia="黑体" w:cs="Times New Roman"/>
                <w:bCs/>
                <w:kern w:val="2"/>
                <w:sz w:val="21"/>
                <w:szCs w:val="21"/>
                <w:lang w:val="en-US" w:eastAsia="zh-CN" w:bidi="ar-SA"/>
              </w:rPr>
              <w:t>年卷页码</w:t>
            </w:r>
            <w:bookmarkEnd w:id="5"/>
          </w:p>
          <w:p w14:paraId="78C88CF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6" w:name="_Toc1707"/>
            <w:r>
              <w:rPr>
                <w:rFonts w:ascii="Times New Roman" w:hAnsi="Times New Roman" w:eastAsia="黑体" w:cs="Times New Roman"/>
                <w:bCs/>
                <w:kern w:val="2"/>
                <w:sz w:val="21"/>
                <w:szCs w:val="21"/>
                <w:lang w:val="en-US" w:eastAsia="zh-CN" w:bidi="ar-SA"/>
              </w:rPr>
              <w:t>（xx年xx卷</w:t>
            </w:r>
            <w:bookmarkEnd w:id="6"/>
            <w:bookmarkStart w:id="7" w:name="_Toc704"/>
            <w:r>
              <w:rPr>
                <w:rFonts w:ascii="Times New Roman" w:hAnsi="Times New Roman" w:eastAsia="黑体" w:cs="Times New Roman"/>
                <w:bCs/>
                <w:kern w:val="2"/>
                <w:sz w:val="21"/>
                <w:szCs w:val="21"/>
                <w:lang w:val="en-US" w:eastAsia="zh-CN" w:bidi="ar-SA"/>
              </w:rPr>
              <w:t>xx页）</w:t>
            </w:r>
            <w:bookmarkEnd w:id="7"/>
          </w:p>
        </w:tc>
        <w:tc>
          <w:tcPr>
            <w:tcW w:w="1850" w:type="dxa"/>
            <w:noWrap w:val="0"/>
            <w:vAlign w:val="center"/>
          </w:tcPr>
          <w:p w14:paraId="59D846D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8" w:name="_Toc23074"/>
            <w:r>
              <w:rPr>
                <w:rFonts w:ascii="Times New Roman" w:hAnsi="Times New Roman" w:eastAsia="黑体" w:cs="Times New Roman"/>
                <w:bCs/>
                <w:kern w:val="2"/>
                <w:sz w:val="21"/>
                <w:szCs w:val="21"/>
                <w:lang w:val="en-US" w:eastAsia="zh-CN" w:bidi="ar-SA"/>
              </w:rPr>
              <w:t>发表时间年月 日</w:t>
            </w:r>
            <w:bookmarkEnd w:id="8"/>
          </w:p>
        </w:tc>
        <w:tc>
          <w:tcPr>
            <w:tcW w:w="924" w:type="dxa"/>
            <w:noWrap w:val="0"/>
            <w:vAlign w:val="center"/>
          </w:tcPr>
          <w:p w14:paraId="5EA21D6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9" w:name="_Toc15565"/>
            <w:r>
              <w:rPr>
                <w:rFonts w:ascii="Times New Roman" w:hAnsi="Times New Roman" w:eastAsia="黑体" w:cs="Times New Roman"/>
                <w:bCs/>
                <w:color w:val="000000"/>
                <w:kern w:val="2"/>
                <w:sz w:val="21"/>
                <w:szCs w:val="28"/>
                <w:lang w:val="en-US" w:eastAsia="zh-CN" w:bidi="ar-SA"/>
              </w:rPr>
              <w:t>通讯作者（含共同）</w:t>
            </w:r>
            <w:bookmarkEnd w:id="9"/>
          </w:p>
        </w:tc>
        <w:tc>
          <w:tcPr>
            <w:tcW w:w="1000" w:type="dxa"/>
            <w:noWrap w:val="0"/>
            <w:vAlign w:val="center"/>
          </w:tcPr>
          <w:p w14:paraId="5F41EEC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10" w:name="_Toc14150"/>
            <w:r>
              <w:rPr>
                <w:rFonts w:ascii="Times New Roman" w:hAnsi="Times New Roman" w:eastAsia="黑体" w:cs="Times New Roman"/>
                <w:bCs/>
                <w:color w:val="000000"/>
                <w:kern w:val="2"/>
                <w:sz w:val="21"/>
                <w:szCs w:val="28"/>
                <w:lang w:val="en-US" w:eastAsia="zh-CN" w:bidi="ar-SA"/>
              </w:rPr>
              <w:t>第一作者（含共同）</w:t>
            </w:r>
            <w:bookmarkEnd w:id="10"/>
          </w:p>
        </w:tc>
        <w:tc>
          <w:tcPr>
            <w:tcW w:w="1763" w:type="dxa"/>
            <w:noWrap w:val="0"/>
            <w:vAlign w:val="center"/>
          </w:tcPr>
          <w:p w14:paraId="684E9E2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kern w:val="2"/>
                <w:sz w:val="21"/>
                <w:szCs w:val="21"/>
                <w:lang w:val="en-US" w:eastAsia="zh-CN" w:bidi="ar-SA"/>
              </w:rPr>
            </w:pPr>
            <w:bookmarkStart w:id="11" w:name="_Toc2464"/>
            <w:r>
              <w:rPr>
                <w:rFonts w:ascii="Times New Roman" w:hAnsi="Times New Roman" w:eastAsia="黑体" w:cs="Times New Roman"/>
                <w:bCs/>
                <w:kern w:val="2"/>
                <w:sz w:val="21"/>
                <w:szCs w:val="21"/>
                <w:lang w:val="en-US" w:eastAsia="zh-CN" w:bidi="ar-SA"/>
              </w:rPr>
              <w:t>国内作者</w:t>
            </w:r>
            <w:bookmarkEnd w:id="11"/>
          </w:p>
        </w:tc>
        <w:tc>
          <w:tcPr>
            <w:tcW w:w="1087" w:type="dxa"/>
            <w:noWrap w:val="0"/>
            <w:vAlign w:val="center"/>
          </w:tcPr>
          <w:p w14:paraId="53C2328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黑体" w:cs="Times New Roman"/>
                <w:bCs/>
                <w:color w:val="000000"/>
                <w:kern w:val="2"/>
                <w:sz w:val="21"/>
                <w:szCs w:val="21"/>
                <w:lang w:val="en-US" w:eastAsia="zh-CN" w:bidi="ar-SA"/>
              </w:rPr>
            </w:pPr>
            <w:bookmarkStart w:id="12" w:name="_Toc32381"/>
            <w:r>
              <w:rPr>
                <w:rFonts w:ascii="Times New Roman" w:hAnsi="Times New Roman" w:eastAsia="黑体" w:cs="Times New Roman"/>
                <w:bCs/>
                <w:color w:val="000000"/>
                <w:kern w:val="2"/>
                <w:sz w:val="21"/>
                <w:szCs w:val="21"/>
                <w:lang w:val="en-US" w:eastAsia="zh-CN" w:bidi="ar-SA"/>
              </w:rPr>
              <w:t>论文署名单位是否包含国外单位</w:t>
            </w:r>
            <w:bookmarkEnd w:id="12"/>
          </w:p>
        </w:tc>
      </w:tr>
      <w:tr w14:paraId="01BE5C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 w:hRule="exact"/>
          <w:jc w:val="center"/>
        </w:trPr>
        <w:tc>
          <w:tcPr>
            <w:tcW w:w="492" w:type="dxa"/>
            <w:noWrap w:val="0"/>
            <w:vAlign w:val="center"/>
          </w:tcPr>
          <w:p w14:paraId="55744FDC">
            <w:pPr>
              <w:widowControl w:val="0"/>
              <w:adjustRightInd w:val="0"/>
              <w:spacing w:after="50" w:line="560" w:lineRule="exact"/>
              <w:ind w:firstLine="0" w:firstLineChars="0"/>
              <w:jc w:val="center"/>
              <w:rPr>
                <w:rFonts w:ascii="Times New Roman" w:hAnsi="Times New Roman" w:eastAsia="宋体" w:cs="Times New Roman"/>
                <w:bCs/>
                <w:kern w:val="2"/>
                <w:sz w:val="21"/>
                <w:szCs w:val="21"/>
                <w:lang w:val="en-US" w:eastAsia="zh-CN" w:bidi="ar-SA"/>
              </w:rPr>
            </w:pPr>
            <w:bookmarkStart w:id="13" w:name="_Toc30399"/>
            <w:r>
              <w:rPr>
                <w:rFonts w:ascii="Times New Roman" w:hAnsi="Times New Roman" w:eastAsia="宋体" w:cs="Times New Roman"/>
                <w:bCs/>
                <w:kern w:val="2"/>
                <w:sz w:val="21"/>
                <w:szCs w:val="21"/>
                <w:lang w:val="en-US" w:eastAsia="zh-CN" w:bidi="ar-SA"/>
              </w:rPr>
              <w:t>1</w:t>
            </w:r>
            <w:bookmarkEnd w:id="13"/>
          </w:p>
        </w:tc>
        <w:tc>
          <w:tcPr>
            <w:tcW w:w="6187" w:type="dxa"/>
            <w:noWrap w:val="0"/>
            <w:vAlign w:val="center"/>
          </w:tcPr>
          <w:p w14:paraId="6EF3FFF5">
            <w:pPr>
              <w:keepNext w:val="0"/>
              <w:keepLines w:val="0"/>
              <w:pageBreakBefore w:val="0"/>
              <w:widowControl w:val="0"/>
              <w:kinsoku/>
              <w:wordWrap/>
              <w:overflowPunct/>
              <w:topLinePunct w:val="0"/>
              <w:autoSpaceDE/>
              <w:autoSpaceDN/>
              <w:bidi w:val="0"/>
              <w:adjustRightInd w:val="0"/>
              <w:snapToGrid w:val="0"/>
              <w:spacing w:after="50" w:line="240" w:lineRule="auto"/>
              <w:ind w:firstLine="0" w:firstLineChars="0"/>
              <w:jc w:val="both"/>
              <w:textAlignment w:val="auto"/>
              <w:rPr>
                <w:rFonts w:hint="default" w:ascii="Times New Roman" w:hAnsi="Times New Roman" w:eastAsia="宋体" w:cs="Times New Roman"/>
                <w:bCs/>
                <w:kern w:val="2"/>
                <w:sz w:val="21"/>
                <w:szCs w:val="21"/>
                <w:vertAlign w:val="baseline"/>
                <w:lang w:val="en-US" w:eastAsia="zh-CN" w:bidi="ar-SA"/>
              </w:rPr>
            </w:pPr>
            <w:r>
              <w:rPr>
                <w:rFonts w:hint="eastAsia" w:ascii="Times New Roman" w:hAnsi="Times New Roman" w:eastAsia="宋体" w:cs="Times New Roman"/>
                <w:bCs/>
                <w:color w:val="000000"/>
                <w:kern w:val="2"/>
                <w:sz w:val="21"/>
                <w:szCs w:val="21"/>
                <w:lang w:val="en-US" w:eastAsia="zh-CN" w:bidi="ar-SA"/>
              </w:rPr>
              <w:t>Detonation characteristics of emulsion explosives sensitized by MgH</w:t>
            </w:r>
            <w:r>
              <w:rPr>
                <w:rFonts w:hint="eastAsia" w:ascii="Times New Roman" w:hAnsi="Times New Roman" w:eastAsia="宋体" w:cs="Times New Roman"/>
                <w:bCs/>
                <w:color w:val="000000"/>
                <w:kern w:val="2"/>
                <w:sz w:val="21"/>
                <w:szCs w:val="21"/>
                <w:vertAlign w:val="subscript"/>
                <w:lang w:val="en-US" w:eastAsia="zh-CN" w:bidi="ar-SA"/>
              </w:rPr>
              <w:t>2</w:t>
            </w:r>
            <w:r>
              <w:rPr>
                <w:rFonts w:hint="eastAsia" w:ascii="Times New Roman" w:hAnsi="Times New Roman" w:eastAsia="宋体" w:cs="Times New Roman"/>
                <w:bCs/>
                <w:color w:val="000000"/>
                <w:kern w:val="2"/>
                <w:sz w:val="21"/>
                <w:szCs w:val="21"/>
                <w:vertAlign w:val="baseline"/>
                <w:lang w:val="en-US" w:eastAsia="zh-CN" w:bidi="ar-SA"/>
              </w:rPr>
              <w:t>/</w:t>
            </w:r>
            <w:r>
              <w:rPr>
                <w:rFonts w:hint="eastAsia" w:ascii="Times New Roman" w:hAnsi="Times New Roman" w:cs="Times New Roman"/>
                <w:bCs/>
                <w:color w:val="000000"/>
                <w:kern w:val="2"/>
                <w:sz w:val="21"/>
                <w:szCs w:val="21"/>
                <w:vertAlign w:val="baseline"/>
                <w:lang w:val="en-US" w:eastAsia="zh-CN" w:bidi="ar-SA"/>
              </w:rPr>
              <w:t xml:space="preserve"> </w:t>
            </w:r>
            <w:r>
              <w:rPr>
                <w:rFonts w:hint="default" w:ascii="Times New Roman" w:hAnsi="Times New Roman" w:eastAsia="宋体" w:cs="Times New Roman"/>
                <w:i/>
                <w:iCs/>
                <w:color w:val="000000"/>
                <w:kern w:val="2"/>
                <w:sz w:val="21"/>
                <w:szCs w:val="21"/>
                <w:lang w:val="en-US" w:eastAsia="zh-CN" w:bidi="ar-SA"/>
              </w:rPr>
              <w:t>Combustion, Explosion and Shock Waves</w:t>
            </w:r>
            <w:r>
              <w:rPr>
                <w:rFonts w:hint="eastAsia" w:ascii="Times New Roman" w:hAnsi="Times New Roman" w:eastAsia="宋体" w:cs="Times New Roman"/>
                <w:color w:val="000000"/>
                <w:kern w:val="2"/>
                <w:sz w:val="21"/>
                <w:szCs w:val="21"/>
                <w:lang w:val="en-US" w:eastAsia="zh-CN" w:bidi="ar-SA"/>
              </w:rPr>
              <w:t>/Cheng Yang-Fan, Ma Hong-Hao, Shen Zhao-Wu</w:t>
            </w:r>
          </w:p>
        </w:tc>
        <w:tc>
          <w:tcPr>
            <w:tcW w:w="1301" w:type="dxa"/>
            <w:noWrap w:val="0"/>
            <w:vAlign w:val="center"/>
          </w:tcPr>
          <w:p w14:paraId="0A93F657">
            <w:pPr>
              <w:widowControl w:val="0"/>
              <w:adjustRightInd w:val="0"/>
              <w:spacing w:after="50" w:line="240" w:lineRule="auto"/>
              <w:ind w:firstLine="0" w:firstLineChars="0"/>
              <w:jc w:val="center"/>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2013年49卷5期614-619页</w:t>
            </w:r>
          </w:p>
        </w:tc>
        <w:tc>
          <w:tcPr>
            <w:tcW w:w="1850" w:type="dxa"/>
            <w:noWrap w:val="0"/>
            <w:vAlign w:val="center"/>
          </w:tcPr>
          <w:p w14:paraId="5B8D0E92">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2013年9月15日</w:t>
            </w:r>
          </w:p>
        </w:tc>
        <w:tc>
          <w:tcPr>
            <w:tcW w:w="924" w:type="dxa"/>
            <w:noWrap w:val="0"/>
            <w:vAlign w:val="center"/>
          </w:tcPr>
          <w:p w14:paraId="181C1DC4">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000" w:type="dxa"/>
            <w:noWrap w:val="0"/>
            <w:vAlign w:val="center"/>
          </w:tcPr>
          <w:p w14:paraId="541850A0">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763" w:type="dxa"/>
            <w:noWrap w:val="0"/>
            <w:vAlign w:val="center"/>
          </w:tcPr>
          <w:p w14:paraId="5B1FCF54">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程扬帆，马宏昊，沈兆武</w:t>
            </w:r>
          </w:p>
        </w:tc>
        <w:tc>
          <w:tcPr>
            <w:tcW w:w="1087" w:type="dxa"/>
            <w:noWrap w:val="0"/>
            <w:vAlign w:val="center"/>
          </w:tcPr>
          <w:p w14:paraId="4566D020">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否</w:t>
            </w:r>
          </w:p>
        </w:tc>
      </w:tr>
      <w:tr w14:paraId="24D1E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492" w:type="dxa"/>
            <w:noWrap w:val="0"/>
            <w:vAlign w:val="center"/>
          </w:tcPr>
          <w:p w14:paraId="5E2BAC8C">
            <w:pPr>
              <w:widowControl w:val="0"/>
              <w:adjustRightInd w:val="0"/>
              <w:spacing w:after="50" w:line="560" w:lineRule="exact"/>
              <w:ind w:firstLine="0" w:firstLineChars="0"/>
              <w:jc w:val="center"/>
              <w:rPr>
                <w:rFonts w:ascii="Times New Roman" w:hAnsi="Times New Roman" w:eastAsia="宋体" w:cs="Times New Roman"/>
                <w:bCs/>
                <w:kern w:val="2"/>
                <w:sz w:val="21"/>
                <w:szCs w:val="21"/>
                <w:lang w:val="en-US" w:eastAsia="zh-CN" w:bidi="ar-SA"/>
              </w:rPr>
            </w:pPr>
            <w:r>
              <w:rPr>
                <w:rFonts w:hint="eastAsia" w:ascii="Times New Roman" w:hAnsi="Times New Roman" w:cs="Times New Roman"/>
                <w:bCs/>
                <w:kern w:val="2"/>
                <w:sz w:val="21"/>
                <w:szCs w:val="21"/>
                <w:lang w:val="en-US" w:eastAsia="zh-CN" w:bidi="ar-SA"/>
              </w:rPr>
              <w:t>2</w:t>
            </w:r>
          </w:p>
        </w:tc>
        <w:tc>
          <w:tcPr>
            <w:tcW w:w="6187" w:type="dxa"/>
            <w:noWrap w:val="0"/>
            <w:vAlign w:val="center"/>
          </w:tcPr>
          <w:p w14:paraId="0FCE629C">
            <w:pPr>
              <w:keepNext w:val="0"/>
              <w:keepLines w:val="0"/>
              <w:pageBreakBefore w:val="0"/>
              <w:widowControl w:val="0"/>
              <w:kinsoku/>
              <w:wordWrap/>
              <w:overflowPunct/>
              <w:topLinePunct w:val="0"/>
              <w:autoSpaceDE/>
              <w:autoSpaceDN/>
              <w:bidi w:val="0"/>
              <w:adjustRightInd w:val="0"/>
              <w:snapToGrid w:val="0"/>
              <w:spacing w:after="50" w:line="240" w:lineRule="auto"/>
              <w:ind w:firstLine="0" w:firstLineChars="0"/>
              <w:jc w:val="both"/>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 xml:space="preserve">Explosion </w:t>
            </w:r>
            <w:r>
              <w:rPr>
                <w:rFonts w:hint="eastAsia" w:ascii="Times New Roman" w:hAnsi="Times New Roman" w:eastAsia="宋体" w:cs="Times New Roman"/>
                <w:color w:val="000000"/>
                <w:kern w:val="2"/>
                <w:sz w:val="21"/>
                <w:szCs w:val="21"/>
                <w:lang w:val="en-US" w:eastAsia="zh-CN" w:bidi="ar-SA"/>
              </w:rPr>
              <w:t>p</w:t>
            </w:r>
            <w:r>
              <w:rPr>
                <w:rFonts w:hint="default" w:ascii="Times New Roman" w:hAnsi="Times New Roman" w:eastAsia="宋体" w:cs="Times New Roman"/>
                <w:color w:val="000000"/>
                <w:kern w:val="2"/>
                <w:sz w:val="21"/>
                <w:szCs w:val="21"/>
                <w:lang w:val="en-US" w:eastAsia="zh-CN" w:bidi="ar-SA"/>
              </w:rPr>
              <w:t xml:space="preserve">ower and </w:t>
            </w:r>
            <w:r>
              <w:rPr>
                <w:rFonts w:hint="eastAsia" w:ascii="Times New Roman" w:hAnsi="Times New Roman" w:eastAsia="宋体" w:cs="Times New Roman"/>
                <w:color w:val="000000"/>
                <w:kern w:val="2"/>
                <w:sz w:val="21"/>
                <w:szCs w:val="21"/>
                <w:lang w:val="en-US" w:eastAsia="zh-CN" w:bidi="ar-SA"/>
              </w:rPr>
              <w:t>d</w:t>
            </w:r>
            <w:r>
              <w:rPr>
                <w:rFonts w:hint="default" w:ascii="Times New Roman" w:hAnsi="Times New Roman" w:eastAsia="宋体" w:cs="Times New Roman"/>
                <w:color w:val="000000"/>
                <w:kern w:val="2"/>
                <w:sz w:val="21"/>
                <w:szCs w:val="21"/>
                <w:lang w:val="en-US" w:eastAsia="zh-CN" w:bidi="ar-SA"/>
              </w:rPr>
              <w:t xml:space="preserve">esensitization </w:t>
            </w:r>
            <w:r>
              <w:rPr>
                <w:rFonts w:hint="eastAsia" w:ascii="Times New Roman" w:hAnsi="Times New Roman" w:eastAsia="宋体" w:cs="Times New Roman"/>
                <w:color w:val="000000"/>
                <w:kern w:val="2"/>
                <w:sz w:val="21"/>
                <w:szCs w:val="21"/>
                <w:lang w:val="en-US" w:eastAsia="zh-CN" w:bidi="ar-SA"/>
              </w:rPr>
              <w:t>r</w:t>
            </w:r>
            <w:r>
              <w:rPr>
                <w:rFonts w:hint="default" w:ascii="Times New Roman" w:hAnsi="Times New Roman" w:eastAsia="宋体" w:cs="Times New Roman"/>
                <w:color w:val="000000"/>
                <w:kern w:val="2"/>
                <w:sz w:val="21"/>
                <w:szCs w:val="21"/>
                <w:lang w:val="en-US" w:eastAsia="zh-CN" w:bidi="ar-SA"/>
              </w:rPr>
              <w:t>esisting</w:t>
            </w:r>
            <w:r>
              <w:rPr>
                <w:rFonts w:hint="eastAsia" w:ascii="Times New Roman" w:hAnsi="Times New Roman" w:eastAsia="宋体" w:cs="Times New Roman"/>
                <w:color w:val="000000"/>
                <w:kern w:val="2"/>
                <w:sz w:val="21"/>
                <w:szCs w:val="21"/>
                <w:lang w:val="en-US" w:eastAsia="zh-CN" w:bidi="ar-SA"/>
              </w:rPr>
              <w:t xml:space="preserve"> p</w:t>
            </w:r>
            <w:r>
              <w:rPr>
                <w:rFonts w:hint="default" w:ascii="Times New Roman" w:hAnsi="Times New Roman" w:eastAsia="宋体" w:cs="Times New Roman"/>
                <w:color w:val="000000"/>
                <w:kern w:val="2"/>
                <w:sz w:val="21"/>
                <w:szCs w:val="21"/>
                <w:lang w:val="en-US" w:eastAsia="zh-CN" w:bidi="ar-SA"/>
              </w:rPr>
              <w:t xml:space="preserve">roperty of </w:t>
            </w:r>
            <w:r>
              <w:rPr>
                <w:rFonts w:hint="eastAsia" w:ascii="Times New Roman" w:hAnsi="Times New Roman" w:eastAsia="宋体" w:cs="Times New Roman"/>
                <w:color w:val="000000"/>
                <w:kern w:val="2"/>
                <w:sz w:val="21"/>
                <w:szCs w:val="21"/>
                <w:lang w:val="en-US" w:eastAsia="zh-CN" w:bidi="ar-SA"/>
              </w:rPr>
              <w:t>e</w:t>
            </w:r>
            <w:r>
              <w:rPr>
                <w:rFonts w:hint="default" w:ascii="Times New Roman" w:hAnsi="Times New Roman" w:eastAsia="宋体" w:cs="Times New Roman"/>
                <w:color w:val="000000"/>
                <w:kern w:val="2"/>
                <w:sz w:val="21"/>
                <w:szCs w:val="21"/>
                <w:lang w:val="en-US" w:eastAsia="zh-CN" w:bidi="ar-SA"/>
              </w:rPr>
              <w:t xml:space="preserve">mulsion </w:t>
            </w:r>
            <w:r>
              <w:rPr>
                <w:rFonts w:hint="eastAsia" w:ascii="Times New Roman" w:hAnsi="Times New Roman" w:eastAsia="宋体" w:cs="Times New Roman"/>
                <w:color w:val="000000"/>
                <w:kern w:val="2"/>
                <w:sz w:val="21"/>
                <w:szCs w:val="21"/>
                <w:lang w:val="en-US" w:eastAsia="zh-CN" w:bidi="ar-SA"/>
              </w:rPr>
              <w:t>e</w:t>
            </w:r>
            <w:r>
              <w:rPr>
                <w:rFonts w:hint="default" w:ascii="Times New Roman" w:hAnsi="Times New Roman" w:eastAsia="宋体" w:cs="Times New Roman"/>
                <w:color w:val="000000"/>
                <w:kern w:val="2"/>
                <w:sz w:val="21"/>
                <w:szCs w:val="21"/>
                <w:lang w:val="en-US" w:eastAsia="zh-CN" w:bidi="ar-SA"/>
              </w:rPr>
              <w:t xml:space="preserve">xplosives </w:t>
            </w:r>
            <w:r>
              <w:rPr>
                <w:rFonts w:hint="eastAsia" w:ascii="Times New Roman" w:hAnsi="Times New Roman" w:eastAsia="宋体" w:cs="Times New Roman"/>
                <w:color w:val="000000"/>
                <w:kern w:val="2"/>
                <w:sz w:val="21"/>
                <w:szCs w:val="21"/>
                <w:lang w:val="en-US" w:eastAsia="zh-CN" w:bidi="ar-SA"/>
              </w:rPr>
              <w:t>s</w:t>
            </w:r>
            <w:r>
              <w:rPr>
                <w:rFonts w:hint="default" w:ascii="Times New Roman" w:hAnsi="Times New Roman" w:eastAsia="宋体" w:cs="Times New Roman"/>
                <w:color w:val="000000"/>
                <w:kern w:val="2"/>
                <w:sz w:val="21"/>
                <w:szCs w:val="21"/>
                <w:lang w:val="en-US" w:eastAsia="zh-CN" w:bidi="ar-SA"/>
              </w:rPr>
              <w:t>ensitized by MgH</w:t>
            </w:r>
            <w:r>
              <w:rPr>
                <w:rFonts w:hint="default" w:ascii="Times New Roman" w:hAnsi="Times New Roman" w:eastAsia="宋体" w:cs="Times New Roman"/>
                <w:color w:val="000000"/>
                <w:kern w:val="2"/>
                <w:sz w:val="21"/>
                <w:szCs w:val="21"/>
                <w:vertAlign w:val="subscript"/>
                <w:lang w:val="en-US" w:eastAsia="zh-CN" w:bidi="ar-SA"/>
              </w:rPr>
              <w:t>2</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i/>
                <w:iCs/>
                <w:color w:val="000000"/>
                <w:kern w:val="2"/>
                <w:sz w:val="21"/>
                <w:szCs w:val="21"/>
                <w:lang w:val="en-US" w:eastAsia="zh-CN" w:bidi="ar-SA"/>
              </w:rPr>
              <w:t>Journal of Energetic Materials</w:t>
            </w:r>
            <w:r>
              <w:rPr>
                <w:rFonts w:hint="eastAsia" w:ascii="Times New Roman" w:hAnsi="Times New Roman" w:eastAsia="宋体" w:cs="Times New Roman"/>
                <w:color w:val="000000"/>
                <w:kern w:val="2"/>
                <w:sz w:val="21"/>
                <w:szCs w:val="21"/>
                <w:lang w:val="en-US" w:eastAsia="zh-CN" w:bidi="ar-SA"/>
              </w:rPr>
              <w:t>/Cheng Yangfan, Ma Honghao, Liu Rong, Shen Zhaowu</w:t>
            </w:r>
          </w:p>
        </w:tc>
        <w:tc>
          <w:tcPr>
            <w:tcW w:w="1301" w:type="dxa"/>
            <w:noWrap w:val="0"/>
            <w:vAlign w:val="center"/>
          </w:tcPr>
          <w:p w14:paraId="5B6716AB">
            <w:pPr>
              <w:keepNext w:val="0"/>
              <w:keepLines w:val="0"/>
              <w:pageBreakBefore w:val="0"/>
              <w:widowControl w:val="0"/>
              <w:kinsoku/>
              <w:wordWrap/>
              <w:overflowPunct/>
              <w:topLinePunct w:val="0"/>
              <w:autoSpaceDE/>
              <w:autoSpaceDN/>
              <w:bidi w:val="0"/>
              <w:adjustRightInd w:val="0"/>
              <w:snapToGrid/>
              <w:spacing w:after="50" w:line="240" w:lineRule="auto"/>
              <w:ind w:firstLine="0" w:firstLineChars="0"/>
              <w:jc w:val="center"/>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2014年32卷3期207-218页</w:t>
            </w:r>
          </w:p>
        </w:tc>
        <w:tc>
          <w:tcPr>
            <w:tcW w:w="1850" w:type="dxa"/>
            <w:noWrap w:val="0"/>
            <w:vAlign w:val="center"/>
          </w:tcPr>
          <w:p w14:paraId="11278B9F">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2014年7月3日</w:t>
            </w:r>
          </w:p>
        </w:tc>
        <w:tc>
          <w:tcPr>
            <w:tcW w:w="924" w:type="dxa"/>
            <w:noWrap w:val="0"/>
            <w:vAlign w:val="center"/>
          </w:tcPr>
          <w:p w14:paraId="34A808CC">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马宏昊</w:t>
            </w:r>
          </w:p>
        </w:tc>
        <w:tc>
          <w:tcPr>
            <w:tcW w:w="1000" w:type="dxa"/>
            <w:noWrap w:val="0"/>
            <w:vAlign w:val="center"/>
          </w:tcPr>
          <w:p w14:paraId="48E75E26">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763" w:type="dxa"/>
            <w:noWrap w:val="0"/>
            <w:vAlign w:val="center"/>
          </w:tcPr>
          <w:p w14:paraId="12049055">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程扬帆，马宏昊，刘蓉，沈兆武</w:t>
            </w:r>
          </w:p>
        </w:tc>
        <w:tc>
          <w:tcPr>
            <w:tcW w:w="1087" w:type="dxa"/>
            <w:noWrap w:val="0"/>
            <w:vAlign w:val="center"/>
          </w:tcPr>
          <w:p w14:paraId="2B32EABA">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否</w:t>
            </w:r>
          </w:p>
        </w:tc>
      </w:tr>
      <w:tr w14:paraId="36EED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5" w:hRule="exact"/>
          <w:jc w:val="center"/>
        </w:trPr>
        <w:tc>
          <w:tcPr>
            <w:tcW w:w="492" w:type="dxa"/>
            <w:noWrap w:val="0"/>
            <w:vAlign w:val="center"/>
          </w:tcPr>
          <w:p w14:paraId="20FD7D2E">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cs="Times New Roman"/>
                <w:bCs/>
                <w:kern w:val="2"/>
                <w:sz w:val="21"/>
                <w:szCs w:val="21"/>
                <w:lang w:val="en-US" w:eastAsia="zh-CN" w:bidi="ar-SA"/>
              </w:rPr>
              <w:t>3</w:t>
            </w:r>
          </w:p>
        </w:tc>
        <w:tc>
          <w:tcPr>
            <w:tcW w:w="6187" w:type="dxa"/>
            <w:noWrap w:val="0"/>
            <w:vAlign w:val="center"/>
          </w:tcPr>
          <w:p w14:paraId="13C41002">
            <w:pPr>
              <w:keepNext w:val="0"/>
              <w:keepLines w:val="0"/>
              <w:pageBreakBefore w:val="0"/>
              <w:widowControl w:val="0"/>
              <w:kinsoku/>
              <w:wordWrap/>
              <w:overflowPunct/>
              <w:topLinePunct w:val="0"/>
              <w:autoSpaceDE/>
              <w:autoSpaceDN/>
              <w:bidi w:val="0"/>
              <w:adjustRightInd w:val="0"/>
              <w:snapToGrid w:val="0"/>
              <w:spacing w:after="50" w:line="240" w:lineRule="auto"/>
              <w:ind w:firstLine="0" w:firstLineChars="0"/>
              <w:jc w:val="both"/>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The effect of the hydrogen containing material TiH</w:t>
            </w:r>
            <w:r>
              <w:rPr>
                <w:rFonts w:hint="default" w:ascii="Times New Roman" w:hAnsi="Times New Roman" w:eastAsia="宋体" w:cs="Times New Roman"/>
                <w:color w:val="000000"/>
                <w:kern w:val="2"/>
                <w:sz w:val="21"/>
                <w:szCs w:val="21"/>
                <w:vertAlign w:val="subscript"/>
                <w:lang w:val="en-US" w:eastAsia="zh-CN" w:bidi="ar-SA"/>
              </w:rPr>
              <w:t>2</w:t>
            </w:r>
            <w:r>
              <w:rPr>
                <w:rFonts w:hint="default" w:ascii="Times New Roman" w:hAnsi="Times New Roman" w:eastAsia="宋体" w:cs="Times New Roman"/>
                <w:color w:val="000000"/>
                <w:kern w:val="2"/>
                <w:sz w:val="21"/>
                <w:szCs w:val="21"/>
                <w:lang w:val="en-US" w:eastAsia="zh-CN" w:bidi="ar-SA"/>
              </w:rPr>
              <w:t xml:space="preserve"> on the detonation characteristics of emulsion explosives</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i/>
                <w:iCs/>
                <w:color w:val="000000"/>
                <w:kern w:val="2"/>
                <w:sz w:val="21"/>
                <w:szCs w:val="21"/>
                <w:lang w:val="en-US" w:eastAsia="zh-CN" w:bidi="ar-SA"/>
              </w:rPr>
              <w:t>Propellants, Explosives, Pyrotechnics</w:t>
            </w:r>
            <w:r>
              <w:rPr>
                <w:rFonts w:hint="eastAsia" w:ascii="Times New Roman" w:hAnsi="Times New Roman" w:eastAsia="宋体" w:cs="Times New Roman"/>
                <w:color w:val="000000"/>
                <w:kern w:val="2"/>
                <w:sz w:val="21"/>
                <w:szCs w:val="21"/>
                <w:lang w:val="en-US" w:eastAsia="zh-CN" w:bidi="ar-SA"/>
              </w:rPr>
              <w:t xml:space="preserve">/Cheng Yang-fan, Meng Xiang-rui, Feng Cheng-tao, Wang Quan, Wu Shan-shan, Ma Hong-hao, Shen Zhao-wu </w:t>
            </w:r>
          </w:p>
        </w:tc>
        <w:tc>
          <w:tcPr>
            <w:tcW w:w="1301" w:type="dxa"/>
            <w:noWrap w:val="0"/>
            <w:vAlign w:val="center"/>
          </w:tcPr>
          <w:p w14:paraId="6BEB6336">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2017年42卷6期585-591页</w:t>
            </w:r>
          </w:p>
        </w:tc>
        <w:tc>
          <w:tcPr>
            <w:tcW w:w="1850" w:type="dxa"/>
            <w:noWrap w:val="0"/>
            <w:vAlign w:val="center"/>
          </w:tcPr>
          <w:p w14:paraId="534907D2">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2017年6月1日</w:t>
            </w:r>
          </w:p>
        </w:tc>
        <w:tc>
          <w:tcPr>
            <w:tcW w:w="924" w:type="dxa"/>
            <w:noWrap w:val="0"/>
            <w:vAlign w:val="center"/>
          </w:tcPr>
          <w:p w14:paraId="2BAC80FF">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孟祥瑞，冯承涛</w:t>
            </w:r>
          </w:p>
        </w:tc>
        <w:tc>
          <w:tcPr>
            <w:tcW w:w="1000" w:type="dxa"/>
            <w:noWrap w:val="0"/>
            <w:vAlign w:val="center"/>
          </w:tcPr>
          <w:p w14:paraId="7CDC5555">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763" w:type="dxa"/>
            <w:noWrap w:val="0"/>
            <w:vAlign w:val="center"/>
          </w:tcPr>
          <w:p w14:paraId="044B6C88">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程扬帆，孟祥瑞，冯承涛，汪泉，吴姗姗，马宏昊，沈兆武</w:t>
            </w:r>
          </w:p>
        </w:tc>
        <w:tc>
          <w:tcPr>
            <w:tcW w:w="1087" w:type="dxa"/>
            <w:noWrap w:val="0"/>
            <w:vAlign w:val="center"/>
          </w:tcPr>
          <w:p w14:paraId="000C512F">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否</w:t>
            </w:r>
          </w:p>
        </w:tc>
      </w:tr>
      <w:tr w14:paraId="5CBC0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7" w:hRule="exact"/>
          <w:jc w:val="center"/>
        </w:trPr>
        <w:tc>
          <w:tcPr>
            <w:tcW w:w="492" w:type="dxa"/>
            <w:noWrap w:val="0"/>
            <w:vAlign w:val="center"/>
          </w:tcPr>
          <w:p w14:paraId="26C556CA">
            <w:pPr>
              <w:widowControl w:val="0"/>
              <w:adjustRightInd w:val="0"/>
              <w:spacing w:after="50" w:line="560" w:lineRule="exact"/>
              <w:ind w:firstLine="0" w:firstLineChars="0"/>
              <w:jc w:val="center"/>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4</w:t>
            </w:r>
          </w:p>
        </w:tc>
        <w:tc>
          <w:tcPr>
            <w:tcW w:w="6187" w:type="dxa"/>
            <w:noWrap w:val="0"/>
            <w:vAlign w:val="center"/>
          </w:tcPr>
          <w:p w14:paraId="048222B8">
            <w:pPr>
              <w:keepNext w:val="0"/>
              <w:keepLines w:val="0"/>
              <w:pageBreakBefore w:val="0"/>
              <w:widowControl w:val="0"/>
              <w:kinsoku/>
              <w:wordWrap/>
              <w:overflowPunct/>
              <w:topLinePunct w:val="0"/>
              <w:autoSpaceDE/>
              <w:autoSpaceDN/>
              <w:bidi w:val="0"/>
              <w:adjustRightInd w:val="0"/>
              <w:snapToGrid w:val="0"/>
              <w:spacing w:after="50" w:line="240" w:lineRule="auto"/>
              <w:ind w:firstLine="0" w:firstLineChars="0"/>
              <w:jc w:val="left"/>
              <w:textAlignment w:val="auto"/>
              <w:rPr>
                <w:rFonts w:ascii="Times New Roman" w:hAnsi="Times New Roman" w:eastAsia="宋体" w:cs="Times New Roman"/>
                <w:bCs/>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Synthesis of multicore energetic hollow microspheres with an improved suspension polymerization-thermal expansion method</w:t>
            </w:r>
            <w:r>
              <w:rPr>
                <w:rFonts w:hint="eastAsia" w:ascii="Times New Roman" w:hAnsi="Times New Roman" w:eastAsia="宋体" w:cs="Times New Roman"/>
                <w:color w:val="000000"/>
                <w:kern w:val="2"/>
                <w:sz w:val="21"/>
                <w:szCs w:val="21"/>
                <w:lang w:val="en-US" w:eastAsia="zh-CN" w:bidi="ar-SA"/>
              </w:rPr>
              <w:t>/</w:t>
            </w:r>
            <w:r>
              <w:rPr>
                <w:rFonts w:hint="eastAsia" w:ascii="Times New Roman" w:hAnsi="Times New Roman" w:cs="Times New Roman"/>
                <w:i/>
                <w:iCs/>
                <w:color w:val="000000"/>
                <w:kern w:val="2"/>
                <w:sz w:val="21"/>
                <w:szCs w:val="21"/>
                <w:lang w:val="en-US" w:eastAsia="zh-CN" w:bidi="ar-SA"/>
              </w:rPr>
              <w:t>Powder Technology</w:t>
            </w:r>
            <w:r>
              <w:rPr>
                <w:rFonts w:hint="eastAsia" w:ascii="Times New Roman" w:hAnsi="Times New Roman" w:cs="Times New Roman"/>
                <w:color w:val="000000"/>
                <w:kern w:val="2"/>
                <w:sz w:val="21"/>
                <w:szCs w:val="21"/>
                <w:lang w:val="en-US" w:eastAsia="zh-CN" w:bidi="ar-SA"/>
              </w:rPr>
              <w:t xml:space="preserve">/ </w:t>
            </w:r>
            <w:r>
              <w:rPr>
                <w:rFonts w:hint="eastAsia" w:ascii="Times New Roman" w:hAnsi="Times New Roman" w:eastAsia="宋体" w:cs="Times New Roman"/>
                <w:color w:val="000000"/>
                <w:kern w:val="2"/>
                <w:sz w:val="21"/>
                <w:szCs w:val="21"/>
                <w:lang w:val="en-US" w:eastAsia="zh-CN" w:bidi="ar-SA"/>
              </w:rPr>
              <w:t>Liu Wen-jin, Cheng Yang-fan, Meng Xiang-rui, Ma Hong-hao, Shu Chi-min, Fang Hua, Song Shi-xiang, Shen Zhao-wu</w:t>
            </w:r>
          </w:p>
        </w:tc>
        <w:tc>
          <w:tcPr>
            <w:tcW w:w="1301" w:type="dxa"/>
            <w:noWrap w:val="0"/>
            <w:vAlign w:val="center"/>
          </w:tcPr>
          <w:p w14:paraId="796BE4AE">
            <w:pPr>
              <w:keepNext w:val="0"/>
              <w:keepLines w:val="0"/>
              <w:pageBreakBefore w:val="0"/>
              <w:widowControl w:val="0"/>
              <w:kinsoku/>
              <w:wordWrap/>
              <w:overflowPunct/>
              <w:topLinePunct w:val="0"/>
              <w:autoSpaceDE/>
              <w:autoSpaceDN/>
              <w:bidi w:val="0"/>
              <w:adjustRightInd w:val="0"/>
              <w:snapToGrid/>
              <w:spacing w:after="50" w:line="240" w:lineRule="auto"/>
              <w:ind w:firstLine="0" w:firstLineChars="0"/>
              <w:jc w:val="center"/>
              <w:textAlignment w:val="auto"/>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2019年343卷326-329页</w:t>
            </w:r>
          </w:p>
        </w:tc>
        <w:tc>
          <w:tcPr>
            <w:tcW w:w="1850" w:type="dxa"/>
            <w:noWrap w:val="0"/>
            <w:vAlign w:val="center"/>
          </w:tcPr>
          <w:p w14:paraId="68B2A914">
            <w:pPr>
              <w:widowControl w:val="0"/>
              <w:adjustRightInd w:val="0"/>
              <w:spacing w:after="50" w:line="240" w:lineRule="auto"/>
              <w:ind w:firstLine="0" w:firstLineChars="0"/>
              <w:jc w:val="center"/>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2019年2月1日</w:t>
            </w:r>
          </w:p>
        </w:tc>
        <w:tc>
          <w:tcPr>
            <w:tcW w:w="924" w:type="dxa"/>
            <w:noWrap w:val="0"/>
            <w:vAlign w:val="center"/>
          </w:tcPr>
          <w:p w14:paraId="15B44E74">
            <w:pPr>
              <w:widowControl w:val="0"/>
              <w:adjustRightInd w:val="0"/>
              <w:spacing w:after="50" w:line="560" w:lineRule="exact"/>
              <w:ind w:firstLine="0" w:firstLineChars="0"/>
              <w:jc w:val="center"/>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000" w:type="dxa"/>
            <w:noWrap w:val="0"/>
            <w:vAlign w:val="center"/>
          </w:tcPr>
          <w:p w14:paraId="2FB71369">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刘文近</w:t>
            </w:r>
          </w:p>
        </w:tc>
        <w:tc>
          <w:tcPr>
            <w:tcW w:w="1763" w:type="dxa"/>
            <w:noWrap w:val="0"/>
            <w:vAlign w:val="center"/>
          </w:tcPr>
          <w:p w14:paraId="61137B36">
            <w:pPr>
              <w:widowControl w:val="0"/>
              <w:adjustRightInd w:val="0"/>
              <w:spacing w:after="50" w:line="240" w:lineRule="auto"/>
              <w:ind w:firstLine="0" w:firstLineChars="0"/>
              <w:jc w:val="center"/>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刘文近，程扬帆，孟祥瑞，马宏昊，徐启铭，方华，宋诗祥，沈兆武</w:t>
            </w:r>
          </w:p>
        </w:tc>
        <w:tc>
          <w:tcPr>
            <w:tcW w:w="1087" w:type="dxa"/>
            <w:noWrap w:val="0"/>
            <w:vAlign w:val="center"/>
          </w:tcPr>
          <w:p w14:paraId="24AD3147">
            <w:pPr>
              <w:widowControl w:val="0"/>
              <w:adjustRightInd w:val="0"/>
              <w:spacing w:after="50" w:line="240" w:lineRule="auto"/>
              <w:ind w:firstLine="0" w:firstLineChars="0"/>
              <w:jc w:val="center"/>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否</w:t>
            </w:r>
          </w:p>
        </w:tc>
      </w:tr>
      <w:tr w14:paraId="430C7C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 w:hRule="exact"/>
          <w:jc w:val="center"/>
        </w:trPr>
        <w:tc>
          <w:tcPr>
            <w:tcW w:w="492" w:type="dxa"/>
            <w:noWrap w:val="0"/>
            <w:vAlign w:val="center"/>
          </w:tcPr>
          <w:p w14:paraId="1B7FD73F">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5</w:t>
            </w:r>
          </w:p>
        </w:tc>
        <w:tc>
          <w:tcPr>
            <w:tcW w:w="6187" w:type="dxa"/>
            <w:noWrap w:val="0"/>
            <w:vAlign w:val="center"/>
          </w:tcPr>
          <w:p w14:paraId="6B298E3D">
            <w:pPr>
              <w:keepNext w:val="0"/>
              <w:keepLines w:val="0"/>
              <w:pageBreakBefore w:val="0"/>
              <w:widowControl w:val="0"/>
              <w:kinsoku/>
              <w:wordWrap/>
              <w:overflowPunct/>
              <w:topLinePunct w:val="0"/>
              <w:autoSpaceDE/>
              <w:autoSpaceDN/>
              <w:bidi w:val="0"/>
              <w:adjustRightInd w:val="0"/>
              <w:snapToGrid w:val="0"/>
              <w:spacing w:after="50" w:line="240" w:lineRule="auto"/>
              <w:ind w:firstLine="0" w:firstLineChars="0"/>
              <w:jc w:val="left"/>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Explosion temperature mapping of emulsion explosives containing TiH</w:t>
            </w:r>
            <w:r>
              <w:rPr>
                <w:rFonts w:hint="default" w:ascii="Times New Roman" w:hAnsi="Times New Roman" w:eastAsia="宋体" w:cs="Times New Roman"/>
                <w:color w:val="000000"/>
                <w:kern w:val="2"/>
                <w:sz w:val="21"/>
                <w:szCs w:val="21"/>
                <w:vertAlign w:val="subscript"/>
                <w:lang w:val="en-US" w:eastAsia="zh-CN" w:bidi="ar-SA"/>
              </w:rPr>
              <w:t>2</w:t>
            </w:r>
            <w:r>
              <w:rPr>
                <w:rFonts w:hint="default" w:ascii="Times New Roman" w:hAnsi="Times New Roman" w:eastAsia="宋体" w:cs="Times New Roman"/>
                <w:color w:val="000000"/>
                <w:kern w:val="2"/>
                <w:sz w:val="21"/>
                <w:szCs w:val="21"/>
                <w:lang w:val="en-US" w:eastAsia="zh-CN" w:bidi="ar-SA"/>
              </w:rPr>
              <w:t xml:space="preserve"> powders with the two-color pyrometer technique</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i/>
                <w:iCs/>
                <w:color w:val="000000"/>
                <w:kern w:val="2"/>
                <w:sz w:val="21"/>
                <w:szCs w:val="21"/>
                <w:lang w:val="en-US" w:eastAsia="zh-CN" w:bidi="ar-SA"/>
              </w:rPr>
              <w:t>Defence Technology</w:t>
            </w:r>
            <w:r>
              <w:rPr>
                <w:rFonts w:hint="eastAsia" w:ascii="Times New Roman" w:hAnsi="Times New Roman" w:eastAsia="宋体" w:cs="Times New Roman"/>
                <w:color w:val="000000"/>
                <w:kern w:val="2"/>
                <w:sz w:val="21"/>
                <w:szCs w:val="21"/>
                <w:lang w:val="en-US" w:eastAsia="zh-CN" w:bidi="ar-SA"/>
              </w:rPr>
              <w:t>/Yao Yu-Le, Cheng Yang-Fan, Zhang Qi-Wei, Xia Yu, Hu Fang-Fang, Wang Quan, Chen Yuan</w:t>
            </w:r>
          </w:p>
        </w:tc>
        <w:tc>
          <w:tcPr>
            <w:tcW w:w="1301" w:type="dxa"/>
            <w:noWrap w:val="0"/>
            <w:vAlign w:val="center"/>
          </w:tcPr>
          <w:p w14:paraId="6D759F84">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2022年18卷10期1834-1841页</w:t>
            </w:r>
          </w:p>
        </w:tc>
        <w:tc>
          <w:tcPr>
            <w:tcW w:w="1850" w:type="dxa"/>
            <w:noWrap w:val="0"/>
            <w:vAlign w:val="center"/>
          </w:tcPr>
          <w:p w14:paraId="4A92DCCB">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2022年11月1日</w:t>
            </w:r>
          </w:p>
        </w:tc>
        <w:tc>
          <w:tcPr>
            <w:tcW w:w="924" w:type="dxa"/>
            <w:noWrap w:val="0"/>
            <w:vAlign w:val="center"/>
          </w:tcPr>
          <w:p w14:paraId="413D2CB6">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000" w:type="dxa"/>
            <w:noWrap w:val="0"/>
            <w:vAlign w:val="center"/>
          </w:tcPr>
          <w:p w14:paraId="6844DB83">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姚雨乐</w:t>
            </w:r>
          </w:p>
        </w:tc>
        <w:tc>
          <w:tcPr>
            <w:tcW w:w="1763" w:type="dxa"/>
            <w:noWrap w:val="0"/>
            <w:vAlign w:val="center"/>
          </w:tcPr>
          <w:p w14:paraId="039880E4">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姚雨乐，程扬帆，张启威，夏煜，胡芳芳，汪泉，陈愿</w:t>
            </w:r>
          </w:p>
        </w:tc>
        <w:tc>
          <w:tcPr>
            <w:tcW w:w="1087" w:type="dxa"/>
            <w:noWrap w:val="0"/>
            <w:vAlign w:val="center"/>
          </w:tcPr>
          <w:p w14:paraId="77D37D0C">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否</w:t>
            </w:r>
          </w:p>
        </w:tc>
      </w:tr>
      <w:tr w14:paraId="434C9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2" w:hRule="exact"/>
          <w:jc w:val="center"/>
        </w:trPr>
        <w:tc>
          <w:tcPr>
            <w:tcW w:w="492" w:type="dxa"/>
            <w:noWrap w:val="0"/>
            <w:vAlign w:val="center"/>
          </w:tcPr>
          <w:p w14:paraId="4C2C09AD">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6</w:t>
            </w:r>
          </w:p>
        </w:tc>
        <w:tc>
          <w:tcPr>
            <w:tcW w:w="6187" w:type="dxa"/>
            <w:noWrap w:val="0"/>
            <w:vAlign w:val="center"/>
          </w:tcPr>
          <w:p w14:paraId="245D70E0">
            <w:pPr>
              <w:keepNext w:val="0"/>
              <w:keepLines w:val="0"/>
              <w:pageBreakBefore w:val="0"/>
              <w:widowControl w:val="0"/>
              <w:kinsoku/>
              <w:wordWrap/>
              <w:overflowPunct/>
              <w:topLinePunct w:val="0"/>
              <w:autoSpaceDE/>
              <w:autoSpaceDN/>
              <w:bidi w:val="0"/>
              <w:adjustRightInd w:val="0"/>
              <w:snapToGrid w:val="0"/>
              <w:spacing w:after="50" w:line="240" w:lineRule="auto"/>
              <w:ind w:firstLine="0" w:firstLineChars="0"/>
              <w:jc w:val="both"/>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Effects of content and particle size of TiH</w:t>
            </w:r>
            <w:r>
              <w:rPr>
                <w:rFonts w:hint="default" w:ascii="Times New Roman" w:hAnsi="Times New Roman" w:eastAsia="宋体" w:cs="Times New Roman"/>
                <w:color w:val="000000"/>
                <w:kern w:val="2"/>
                <w:sz w:val="21"/>
                <w:szCs w:val="21"/>
                <w:vertAlign w:val="subscript"/>
                <w:lang w:val="en-US" w:eastAsia="zh-CN" w:bidi="ar-SA"/>
              </w:rPr>
              <w:t>2</w:t>
            </w:r>
            <w:r>
              <w:rPr>
                <w:rFonts w:hint="default" w:ascii="Times New Roman" w:hAnsi="Times New Roman" w:eastAsia="宋体" w:cs="Times New Roman"/>
                <w:color w:val="000000"/>
                <w:kern w:val="2"/>
                <w:sz w:val="21"/>
                <w:szCs w:val="21"/>
                <w:lang w:val="en-US" w:eastAsia="zh-CN" w:bidi="ar-SA"/>
              </w:rPr>
              <w:t xml:space="preserve"> powders on the energy output rules of RDX composite explosives</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i/>
                <w:iCs/>
                <w:color w:val="000000"/>
                <w:kern w:val="2"/>
                <w:sz w:val="21"/>
                <w:szCs w:val="21"/>
                <w:lang w:val="en-US" w:eastAsia="zh-CN" w:bidi="ar-SA"/>
              </w:rPr>
              <w:t>Defence Technology</w:t>
            </w:r>
            <w:r>
              <w:rPr>
                <w:rFonts w:hint="eastAsia" w:ascii="Times New Roman" w:hAnsi="Times New Roman" w:eastAsia="宋体" w:cs="Times New Roman"/>
                <w:color w:val="000000"/>
                <w:kern w:val="2"/>
                <w:sz w:val="21"/>
                <w:szCs w:val="21"/>
                <w:lang w:val="en-US" w:eastAsia="zh-CN" w:bidi="ar-SA"/>
              </w:rPr>
              <w:t>/Wang Hao, Cheng Yangfan, Zhu Shoujun, Li Zihan, Shen Zhaowu</w:t>
            </w:r>
          </w:p>
        </w:tc>
        <w:tc>
          <w:tcPr>
            <w:tcW w:w="1301" w:type="dxa"/>
            <w:noWrap w:val="0"/>
            <w:vAlign w:val="center"/>
          </w:tcPr>
          <w:p w14:paraId="3E3B7262">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2024年32卷297-308页</w:t>
            </w:r>
          </w:p>
        </w:tc>
        <w:tc>
          <w:tcPr>
            <w:tcW w:w="1850" w:type="dxa"/>
            <w:noWrap w:val="0"/>
            <w:vAlign w:val="center"/>
          </w:tcPr>
          <w:p w14:paraId="033281A4">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20</w:t>
            </w:r>
            <w:bookmarkStart w:id="14" w:name="_GoBack"/>
            <w:bookmarkEnd w:id="14"/>
            <w:r>
              <w:rPr>
                <w:rFonts w:hint="eastAsia" w:ascii="Times New Roman" w:hAnsi="Times New Roman" w:eastAsia="宋体" w:cs="Times New Roman"/>
                <w:bCs/>
                <w:kern w:val="2"/>
                <w:sz w:val="21"/>
                <w:szCs w:val="21"/>
                <w:lang w:val="en-US" w:eastAsia="zh-CN" w:bidi="ar-SA"/>
              </w:rPr>
              <w:t>24年2月1日</w:t>
            </w:r>
          </w:p>
        </w:tc>
        <w:tc>
          <w:tcPr>
            <w:tcW w:w="924" w:type="dxa"/>
            <w:noWrap w:val="0"/>
            <w:vAlign w:val="center"/>
          </w:tcPr>
          <w:p w14:paraId="4E6B5780">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程扬帆</w:t>
            </w:r>
          </w:p>
        </w:tc>
        <w:tc>
          <w:tcPr>
            <w:tcW w:w="1000" w:type="dxa"/>
            <w:noWrap w:val="0"/>
            <w:vAlign w:val="center"/>
          </w:tcPr>
          <w:p w14:paraId="4A969ADD">
            <w:pPr>
              <w:widowControl w:val="0"/>
              <w:adjustRightInd w:val="0"/>
              <w:spacing w:after="50" w:line="560" w:lineRule="exact"/>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王浩</w:t>
            </w:r>
          </w:p>
        </w:tc>
        <w:tc>
          <w:tcPr>
            <w:tcW w:w="1763" w:type="dxa"/>
            <w:noWrap w:val="0"/>
            <w:vAlign w:val="center"/>
          </w:tcPr>
          <w:p w14:paraId="62D8A7F5">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王浩，程扬帆，朱守军，李子涵，沈兆武</w:t>
            </w:r>
          </w:p>
        </w:tc>
        <w:tc>
          <w:tcPr>
            <w:tcW w:w="1087" w:type="dxa"/>
            <w:noWrap w:val="0"/>
            <w:vAlign w:val="center"/>
          </w:tcPr>
          <w:p w14:paraId="1586129C">
            <w:pPr>
              <w:widowControl w:val="0"/>
              <w:adjustRightInd w:val="0"/>
              <w:spacing w:after="50" w:line="240" w:lineRule="auto"/>
              <w:ind w:firstLine="0" w:firstLineChars="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否</w:t>
            </w:r>
          </w:p>
        </w:tc>
      </w:tr>
    </w:tbl>
    <w:p w14:paraId="18C98A35">
      <w:pPr>
        <w:rPr>
          <w:sz w:val="24"/>
          <w:szCs w:val="24"/>
        </w:rPr>
      </w:pPr>
    </w:p>
    <w:sectPr>
      <w:pgSz w:w="16838" w:h="11906" w:orient="landscape"/>
      <w:pgMar w:top="1587" w:right="2098" w:bottom="1474" w:left="198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NkODkzYzZjMDcwNDNmODg2OTNiMzIyZDIyYTNmZDkifQ=="/>
  </w:docVars>
  <w:rsids>
    <w:rsidRoot w:val="00B47730"/>
    <w:rsid w:val="000122B3"/>
    <w:rsid w:val="00034616"/>
    <w:rsid w:val="0006063C"/>
    <w:rsid w:val="00076D4B"/>
    <w:rsid w:val="00116204"/>
    <w:rsid w:val="0015074B"/>
    <w:rsid w:val="00253E41"/>
    <w:rsid w:val="00276265"/>
    <w:rsid w:val="0029639D"/>
    <w:rsid w:val="00326F90"/>
    <w:rsid w:val="00422D89"/>
    <w:rsid w:val="005E3DD0"/>
    <w:rsid w:val="00606250"/>
    <w:rsid w:val="0064686C"/>
    <w:rsid w:val="00AA1D8D"/>
    <w:rsid w:val="00AD76DA"/>
    <w:rsid w:val="00B34288"/>
    <w:rsid w:val="00B47730"/>
    <w:rsid w:val="00B5146D"/>
    <w:rsid w:val="00B71133"/>
    <w:rsid w:val="00B85D2F"/>
    <w:rsid w:val="00CB0664"/>
    <w:rsid w:val="00CD25A8"/>
    <w:rsid w:val="00D44169"/>
    <w:rsid w:val="00DD71B9"/>
    <w:rsid w:val="00E71072"/>
    <w:rsid w:val="00FC693F"/>
    <w:rsid w:val="06846D8D"/>
    <w:rsid w:val="0B483082"/>
    <w:rsid w:val="1A481D95"/>
    <w:rsid w:val="1DD13A17"/>
    <w:rsid w:val="27C941A8"/>
    <w:rsid w:val="2EFB2E3B"/>
    <w:rsid w:val="313C7981"/>
    <w:rsid w:val="363D46DF"/>
    <w:rsid w:val="370D2E45"/>
    <w:rsid w:val="374B2E2B"/>
    <w:rsid w:val="50377F99"/>
    <w:rsid w:val="51F872B4"/>
    <w:rsid w:val="53077E2D"/>
    <w:rsid w:val="53CE29C2"/>
    <w:rsid w:val="556730DE"/>
    <w:rsid w:val="584919DE"/>
    <w:rsid w:val="59D86349"/>
    <w:rsid w:val="639C03E7"/>
    <w:rsid w:val="6B5863EF"/>
    <w:rsid w:val="7735228D"/>
    <w:rsid w:val="77DC26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Plain Text"/>
    <w:basedOn w:val="1"/>
    <w:qFormat/>
    <w:uiPriority w:val="0"/>
    <w:pPr>
      <w:spacing w:line="360" w:lineRule="auto"/>
      <w:ind w:firstLine="480" w:firstLineChars="200"/>
    </w:pPr>
    <w:rPr>
      <w:rFonts w:ascii="仿宋_GB2312" w:hAnsi="Times New Roman"/>
      <w:szCs w:val="20"/>
    </w:r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页眉 字符"/>
    <w:basedOn w:val="133"/>
    <w:link w:val="26"/>
    <w:qFormat/>
    <w:uiPriority w:val="99"/>
  </w:style>
  <w:style w:type="character" w:customStyle="1" w:styleId="137">
    <w:name w:val="页脚 字符"/>
    <w:basedOn w:val="133"/>
    <w:link w:val="25"/>
    <w:qFormat/>
    <w:uiPriority w:val="99"/>
  </w:style>
  <w:style w:type="paragraph" w:styleId="138">
    <w:name w:val="No Spacing"/>
    <w:qFormat/>
    <w:uiPriority w:val="1"/>
    <w:rPr>
      <w:rFonts w:asciiTheme="minorHAnsi" w:hAnsiTheme="minorHAnsi" w:eastAsiaTheme="minorEastAsia" w:cstheme="minorBidi"/>
      <w:sz w:val="22"/>
      <w:szCs w:val="22"/>
      <w:lang w:val="en-US" w:eastAsia="en-US" w:bidi="ar-SA"/>
    </w:rPr>
  </w:style>
  <w:style w:type="character" w:customStyle="1" w:styleId="139">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副标题 字符"/>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正文文本 字符"/>
    <w:basedOn w:val="133"/>
    <w:link w:val="19"/>
    <w:qFormat/>
    <w:uiPriority w:val="99"/>
  </w:style>
  <w:style w:type="character" w:customStyle="1" w:styleId="146">
    <w:name w:val="正文文本 2 字符"/>
    <w:basedOn w:val="133"/>
    <w:link w:val="29"/>
    <w:qFormat/>
    <w:uiPriority w:val="99"/>
  </w:style>
  <w:style w:type="character" w:customStyle="1" w:styleId="147">
    <w:name w:val="正文文本 3 字符"/>
    <w:basedOn w:val="133"/>
    <w:link w:val="17"/>
    <w:qFormat/>
    <w:uiPriority w:val="99"/>
    <w:rPr>
      <w:sz w:val="16"/>
      <w:szCs w:val="16"/>
    </w:rPr>
  </w:style>
  <w:style w:type="character" w:customStyle="1" w:styleId="148">
    <w:name w:val="宏文本 字符"/>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引用 字符"/>
    <w:basedOn w:val="133"/>
    <w:link w:val="149"/>
    <w:qFormat/>
    <w:uiPriority w:val="29"/>
    <w:rPr>
      <w:i/>
      <w:iCs/>
      <w:color w:val="000000" w:themeColor="text1"/>
      <w14:textFill>
        <w14:solidFill>
          <w14:schemeClr w14:val="tx1"/>
        </w14:solidFill>
      </w14:textFill>
    </w:rPr>
  </w:style>
  <w:style w:type="character" w:customStyle="1" w:styleId="151">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明显引用 字符"/>
    <w:basedOn w:val="133"/>
    <w:link w:val="157"/>
    <w:qFormat/>
    <w:uiPriority w:val="30"/>
    <w:rPr>
      <w:b/>
      <w:bCs/>
      <w:i/>
      <w:iCs/>
      <w:color w:val="4F81BD" w:themeColor="accent1"/>
      <w14:textFill>
        <w14:solidFill>
          <w14:schemeClr w14:val="accent1"/>
        </w14:solidFill>
      </w14:textFill>
    </w:rPr>
  </w:style>
  <w:style w:type="character" w:customStyle="1" w:styleId="159">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明显强调1"/>
    <w:basedOn w:val="133"/>
    <w:qFormat/>
    <w:uiPriority w:val="21"/>
    <w:rPr>
      <w:b/>
      <w:bCs/>
      <w:i/>
      <w:iCs/>
      <w:color w:val="4F81BD" w:themeColor="accent1"/>
      <w14:textFill>
        <w14:solidFill>
          <w14:schemeClr w14:val="accent1"/>
        </w14:solidFill>
      </w14:textFill>
    </w:rPr>
  </w:style>
  <w:style w:type="character" w:customStyle="1" w:styleId="161">
    <w:name w:val="不明显参考1"/>
    <w:basedOn w:val="133"/>
    <w:qFormat/>
    <w:uiPriority w:val="31"/>
    <w:rPr>
      <w:smallCaps/>
      <w:color w:val="C0504D" w:themeColor="accent2"/>
      <w:u w:val="single"/>
      <w14:textFill>
        <w14:solidFill>
          <w14:schemeClr w14:val="accent2"/>
        </w14:solidFill>
      </w14:textFill>
    </w:rPr>
  </w:style>
  <w:style w:type="character" w:customStyle="1" w:styleId="162">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书籍标题1"/>
    <w:basedOn w:val="133"/>
    <w:qFormat/>
    <w:uiPriority w:val="33"/>
    <w:rPr>
      <w:b/>
      <w:bCs/>
      <w:smallCaps/>
      <w:spacing w:val="5"/>
    </w:rPr>
  </w:style>
  <w:style w:type="paragraph" w:customStyle="1" w:styleId="164">
    <w:name w:val="TOC 标题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2010</Words>
  <Characters>3346</Characters>
  <Lines>19</Lines>
  <Paragraphs>5</Paragraphs>
  <TotalTime>7</TotalTime>
  <ScaleCrop>false</ScaleCrop>
  <LinksUpToDate>false</LinksUpToDate>
  <CharactersWithSpaces>3529</CharactersWithSpaces>
  <Application>WPS Office_12.1.0.28043_F1E327BC-269C-435d-A152-05C5408002CA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2026-08-24T02:22:00Z</dcterms:created>
  <dc:creator>python-docx</dc:creator>
  <dc:description>generated by python-docx</dc:description>
  <cp:lastModifiedBy>ZSJ</cp:lastModifiedBy>
  <dcterms:modified xsi:type="dcterms:W3CDTF">2026-08-24T14:09:33Z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9AC191C74DE0498FB502FFAE597C749A_12</vt:lpwstr>
  </property>
  <property fmtid="{D5CDD505-2E9C-101B-9397-08002B2CF9AE}" pid="4" name="KSOTemplateDocerSaveRecord">
    <vt:lpwstr>eyJoZGlkIjoiMzhiNGM3NTkwMjUyYjAyZGYzOTI3YmRjMDc3NDBmMGQiLCJ1c2VySWQiOiIyNDM5NzM1NzMifQ==</vt:lpwstr>
  </property>
</Properties>
</file>