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7F64F" w14:textId="77777777" w:rsidR="008F1728" w:rsidRDefault="008F1728" w:rsidP="008F1728">
      <w:pPr>
        <w:ind w:firstLineChars="0" w:firstLine="0"/>
        <w:jc w:val="center"/>
        <w:rPr>
          <w:rFonts w:ascii="黑体" w:eastAsia="黑体"/>
          <w:sz w:val="36"/>
          <w:szCs w:val="36"/>
        </w:rPr>
      </w:pPr>
      <w:r>
        <w:rPr>
          <w:rFonts w:ascii="方正小标宋简体" w:eastAsia="方正小标宋简体" w:hAnsi="方正小标宋简体" w:cs="方正小标宋简体" w:hint="eastAsia"/>
          <w:sz w:val="36"/>
          <w:szCs w:val="36"/>
        </w:rPr>
        <w:t>安徽省科学技术奖提名项目公示</w:t>
      </w:r>
    </w:p>
    <w:p w14:paraId="7C510FA9" w14:textId="77777777" w:rsidR="008F1728" w:rsidRDefault="008F1728" w:rsidP="008F1728">
      <w:pPr>
        <w:ind w:firstLine="560"/>
        <w:rPr>
          <w:rFonts w:ascii="宋体" w:hAnsi="宋体" w:cs="仿宋"/>
          <w:sz w:val="28"/>
          <w:szCs w:val="28"/>
        </w:rPr>
      </w:pPr>
      <w:r>
        <w:rPr>
          <w:rFonts w:ascii="宋体" w:hAnsi="宋体" w:cs="仿宋" w:hint="eastAsia"/>
          <w:sz w:val="28"/>
          <w:szCs w:val="28"/>
        </w:rPr>
        <w:t xml:space="preserve">    </w:t>
      </w:r>
    </w:p>
    <w:p w14:paraId="4CD2B3DD" w14:textId="62868709" w:rsidR="008F1728" w:rsidRDefault="008F1728" w:rsidP="008F1728">
      <w:pPr>
        <w:ind w:firstLine="602"/>
      </w:pPr>
      <w:r>
        <w:rPr>
          <w:rFonts w:hint="eastAsia"/>
          <w:b/>
          <w:bCs/>
        </w:rPr>
        <w:t>一</w:t>
      </w:r>
      <w:r>
        <w:rPr>
          <w:b/>
          <w:bCs/>
        </w:rPr>
        <w:t>、项目名称</w:t>
      </w:r>
      <w:r>
        <w:rPr>
          <w:rFonts w:hint="eastAsia"/>
          <w:b/>
          <w:bCs/>
        </w:rPr>
        <w:t>：</w:t>
      </w:r>
      <w:r>
        <w:rPr>
          <w:rFonts w:hint="eastAsia"/>
        </w:rPr>
        <w:t>电池状态估算与故障诊断技术及应用</w:t>
      </w:r>
    </w:p>
    <w:p w14:paraId="4A4B0DA9" w14:textId="77777777" w:rsidR="008F1728" w:rsidRDefault="008F1728" w:rsidP="008F1728">
      <w:pPr>
        <w:ind w:firstLine="602"/>
      </w:pPr>
      <w:r>
        <w:rPr>
          <w:rFonts w:hint="eastAsia"/>
          <w:b/>
          <w:bCs/>
        </w:rPr>
        <w:t>二、提名者：</w:t>
      </w:r>
      <w:r>
        <w:t>合肥市科</w:t>
      </w:r>
      <w:r>
        <w:rPr>
          <w:rFonts w:hint="eastAsia"/>
        </w:rPr>
        <w:t>学技术</w:t>
      </w:r>
      <w:r>
        <w:t>局</w:t>
      </w:r>
      <w:r>
        <w:rPr>
          <w:rFonts w:hint="eastAsia"/>
        </w:rPr>
        <w:t>。</w:t>
      </w:r>
    </w:p>
    <w:p w14:paraId="3C57E735" w14:textId="77777777" w:rsidR="008F1728" w:rsidRDefault="008F1728" w:rsidP="008F1728">
      <w:pPr>
        <w:ind w:firstLine="602"/>
        <w:rPr>
          <w:b/>
          <w:bCs/>
        </w:rPr>
      </w:pPr>
      <w:r>
        <w:rPr>
          <w:rFonts w:hint="eastAsia"/>
          <w:b/>
          <w:bCs/>
        </w:rPr>
        <w:t>三、主要知识产权和标准规范目录</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88"/>
        <w:gridCol w:w="1260"/>
        <w:gridCol w:w="1022"/>
        <w:gridCol w:w="1034"/>
        <w:gridCol w:w="884"/>
        <w:gridCol w:w="1057"/>
        <w:gridCol w:w="850"/>
        <w:gridCol w:w="976"/>
        <w:gridCol w:w="1058"/>
      </w:tblGrid>
      <w:tr w:rsidR="008F1728" w14:paraId="74DA2F25" w14:textId="77777777" w:rsidTr="00244DEC">
        <w:trPr>
          <w:trHeight w:val="680"/>
          <w:jc w:val="center"/>
        </w:trPr>
        <w:tc>
          <w:tcPr>
            <w:tcW w:w="1088" w:type="dxa"/>
            <w:tcBorders>
              <w:top w:val="single" w:sz="8" w:space="0" w:color="auto"/>
              <w:left w:val="single" w:sz="8" w:space="0" w:color="auto"/>
              <w:bottom w:val="single" w:sz="4" w:space="0" w:color="auto"/>
              <w:right w:val="single" w:sz="4" w:space="0" w:color="auto"/>
              <w:tl2br w:val="nil"/>
              <w:tr2bl w:val="nil"/>
            </w:tcBorders>
            <w:vAlign w:val="center"/>
          </w:tcPr>
          <w:p w14:paraId="134DBBCA"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知识产权（标准）类别</w:t>
            </w:r>
          </w:p>
        </w:tc>
        <w:tc>
          <w:tcPr>
            <w:tcW w:w="1260" w:type="dxa"/>
            <w:tcBorders>
              <w:top w:val="single" w:sz="8" w:space="0" w:color="auto"/>
              <w:left w:val="single" w:sz="4" w:space="0" w:color="auto"/>
              <w:bottom w:val="single" w:sz="4" w:space="0" w:color="auto"/>
              <w:right w:val="single" w:sz="4" w:space="0" w:color="auto"/>
              <w:tl2br w:val="nil"/>
              <w:tr2bl w:val="nil"/>
            </w:tcBorders>
            <w:vAlign w:val="center"/>
          </w:tcPr>
          <w:p w14:paraId="2829FE90"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知识产权（标准）具体名称</w:t>
            </w:r>
          </w:p>
        </w:tc>
        <w:tc>
          <w:tcPr>
            <w:tcW w:w="1022" w:type="dxa"/>
            <w:tcBorders>
              <w:top w:val="single" w:sz="8" w:space="0" w:color="auto"/>
              <w:left w:val="single" w:sz="4" w:space="0" w:color="auto"/>
              <w:bottom w:val="single" w:sz="4" w:space="0" w:color="auto"/>
              <w:right w:val="single" w:sz="4" w:space="0" w:color="auto"/>
              <w:tl2br w:val="nil"/>
              <w:tr2bl w:val="nil"/>
            </w:tcBorders>
            <w:vAlign w:val="center"/>
          </w:tcPr>
          <w:p w14:paraId="6E17AD68"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国家</w:t>
            </w:r>
          </w:p>
          <w:p w14:paraId="1D64597B"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（地区）</w:t>
            </w:r>
          </w:p>
        </w:tc>
        <w:tc>
          <w:tcPr>
            <w:tcW w:w="1034" w:type="dxa"/>
            <w:tcBorders>
              <w:top w:val="single" w:sz="8" w:space="0" w:color="auto"/>
              <w:left w:val="single" w:sz="4" w:space="0" w:color="auto"/>
              <w:bottom w:val="single" w:sz="4" w:space="0" w:color="auto"/>
              <w:right w:val="single" w:sz="4" w:space="0" w:color="auto"/>
              <w:tl2br w:val="nil"/>
              <w:tr2bl w:val="nil"/>
            </w:tcBorders>
            <w:vAlign w:val="center"/>
          </w:tcPr>
          <w:p w14:paraId="2DC99056"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授权号（标准编号）</w:t>
            </w:r>
          </w:p>
        </w:tc>
        <w:tc>
          <w:tcPr>
            <w:tcW w:w="884" w:type="dxa"/>
            <w:tcBorders>
              <w:top w:val="single" w:sz="8" w:space="0" w:color="auto"/>
              <w:left w:val="single" w:sz="4" w:space="0" w:color="auto"/>
              <w:bottom w:val="single" w:sz="4" w:space="0" w:color="auto"/>
              <w:right w:val="single" w:sz="4" w:space="0" w:color="auto"/>
              <w:tl2br w:val="nil"/>
              <w:tr2bl w:val="nil"/>
            </w:tcBorders>
            <w:vAlign w:val="center"/>
          </w:tcPr>
          <w:p w14:paraId="28B3061D"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授权（标准发布）日期</w:t>
            </w:r>
          </w:p>
        </w:tc>
        <w:tc>
          <w:tcPr>
            <w:tcW w:w="1057" w:type="dxa"/>
            <w:tcBorders>
              <w:top w:val="single" w:sz="8" w:space="0" w:color="auto"/>
              <w:left w:val="single" w:sz="4" w:space="0" w:color="auto"/>
              <w:bottom w:val="single" w:sz="4" w:space="0" w:color="auto"/>
              <w:right w:val="single" w:sz="4" w:space="0" w:color="auto"/>
              <w:tl2br w:val="nil"/>
              <w:tr2bl w:val="nil"/>
            </w:tcBorders>
            <w:vAlign w:val="center"/>
          </w:tcPr>
          <w:p w14:paraId="76FE5C53"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证书编号</w:t>
            </w:r>
            <w:r>
              <w:rPr>
                <w:rFonts w:eastAsia="方正仿宋_GBK" w:cs="方正仿宋_GB2312" w:hint="eastAsia"/>
                <w:sz w:val="21"/>
                <w:szCs w:val="21"/>
              </w:rPr>
              <w:br/>
            </w:r>
            <w:r>
              <w:rPr>
                <w:rFonts w:eastAsia="方正仿宋_GBK" w:cs="方正仿宋_GB2312" w:hint="eastAsia"/>
                <w:sz w:val="21"/>
                <w:szCs w:val="21"/>
              </w:rPr>
              <w:t>（标准批准发布部门）</w:t>
            </w:r>
          </w:p>
        </w:tc>
        <w:tc>
          <w:tcPr>
            <w:tcW w:w="850" w:type="dxa"/>
            <w:tcBorders>
              <w:top w:val="single" w:sz="8" w:space="0" w:color="auto"/>
              <w:left w:val="single" w:sz="4" w:space="0" w:color="auto"/>
              <w:bottom w:val="single" w:sz="4" w:space="0" w:color="auto"/>
              <w:right w:val="single" w:sz="4" w:space="0" w:color="auto"/>
              <w:tl2br w:val="nil"/>
              <w:tr2bl w:val="nil"/>
            </w:tcBorders>
            <w:vAlign w:val="center"/>
          </w:tcPr>
          <w:p w14:paraId="1728DB89"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权利人（标准起草单位）</w:t>
            </w:r>
          </w:p>
        </w:tc>
        <w:tc>
          <w:tcPr>
            <w:tcW w:w="976" w:type="dxa"/>
            <w:tcBorders>
              <w:top w:val="single" w:sz="8" w:space="0" w:color="auto"/>
              <w:left w:val="single" w:sz="4" w:space="0" w:color="auto"/>
              <w:bottom w:val="single" w:sz="4" w:space="0" w:color="auto"/>
              <w:right w:val="single" w:sz="4" w:space="0" w:color="auto"/>
              <w:tl2br w:val="nil"/>
              <w:tr2bl w:val="nil"/>
            </w:tcBorders>
            <w:vAlign w:val="center"/>
          </w:tcPr>
          <w:p w14:paraId="157AC228"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发明人（标准起草人）</w:t>
            </w:r>
          </w:p>
        </w:tc>
        <w:tc>
          <w:tcPr>
            <w:tcW w:w="1058" w:type="dxa"/>
            <w:tcBorders>
              <w:top w:val="single" w:sz="8" w:space="0" w:color="auto"/>
              <w:left w:val="single" w:sz="4" w:space="0" w:color="auto"/>
              <w:bottom w:val="single" w:sz="4" w:space="0" w:color="auto"/>
              <w:right w:val="single" w:sz="8" w:space="0" w:color="auto"/>
              <w:tl2br w:val="nil"/>
              <w:tr2bl w:val="nil"/>
            </w:tcBorders>
            <w:vAlign w:val="center"/>
          </w:tcPr>
          <w:p w14:paraId="21773287" w14:textId="77777777" w:rsidR="008F1728" w:rsidRDefault="008F1728" w:rsidP="00244DEC">
            <w:pPr>
              <w:adjustRightInd w:val="0"/>
              <w:snapToGrid w:val="0"/>
              <w:ind w:firstLineChars="0" w:firstLine="0"/>
              <w:jc w:val="center"/>
              <w:rPr>
                <w:rFonts w:eastAsia="方正仿宋_GB2312" w:cs="方正仿宋_GB2312"/>
                <w:sz w:val="21"/>
                <w:szCs w:val="21"/>
              </w:rPr>
            </w:pPr>
            <w:r>
              <w:rPr>
                <w:rFonts w:eastAsia="方正仿宋_GBK" w:cs="方正仿宋_GB2312" w:hint="eastAsia"/>
                <w:sz w:val="21"/>
                <w:szCs w:val="21"/>
              </w:rPr>
              <w:t>发明专利（标准）有效状态</w:t>
            </w:r>
          </w:p>
        </w:tc>
      </w:tr>
      <w:tr w:rsidR="008F1728" w14:paraId="7AF84529" w14:textId="77777777" w:rsidTr="00244DEC">
        <w:trPr>
          <w:trHeight w:val="752"/>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714F90EE"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发明</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1477E948"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锂电池数据采集异常识别方法、系统、存储介质及设备</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573D3B82"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6320C796"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CN116299019B</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7B95ABC4"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2024.04.02</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37EB7C15"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6850765</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60041176"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171EC1E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张文；蒋松；茅小海；高飞；罗达志；张兵</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12023D59"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有效发明专利</w:t>
            </w:r>
          </w:p>
        </w:tc>
      </w:tr>
      <w:tr w:rsidR="008F1728" w14:paraId="3E3973E9" w14:textId="77777777" w:rsidTr="00244DEC">
        <w:trPr>
          <w:trHeight w:val="752"/>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2182413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发明</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1D0B9BB1"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车辆行驶预测方法；装置；电子设备及存储设备</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61609331"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50FB99FD"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 117445677 A</w:t>
            </w:r>
          </w:p>
          <w:p w14:paraId="5F4F5AEC" w14:textId="77777777" w:rsidR="008F1728" w:rsidRDefault="008F1728" w:rsidP="00244DEC">
            <w:pPr>
              <w:adjustRightInd w:val="0"/>
              <w:snapToGrid w:val="0"/>
              <w:ind w:firstLineChars="0" w:firstLine="0"/>
              <w:jc w:val="center"/>
              <w:rPr>
                <w:rFonts w:eastAsia="方正仿宋_GBK" w:cs="方正仿宋_GB2312"/>
                <w:sz w:val="21"/>
                <w:szCs w:val="21"/>
              </w:rPr>
            </w:pP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025FEBAD"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2026.05.15</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34E0FA74"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8950895</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5F50D3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15098028"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张文；王笔戎；房子昱；胡亮；刘威；罗达志</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28862B57"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有效发明专利</w:t>
            </w:r>
          </w:p>
        </w:tc>
      </w:tr>
      <w:tr w:rsidR="008F1728" w14:paraId="391EDE9B" w14:textId="77777777" w:rsidTr="00244DEC">
        <w:trPr>
          <w:trHeight w:val="752"/>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3D207A2D"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发明</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21FBE398"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车辆中电池模组的故障确定方法；装置以及电子设备</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5757107D"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4220762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CN120716468A</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7262BCB1"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2026.07.24</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50EDC76A"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9140507</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D0803C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4784B936"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伍慧；罗达志；刘威；刁节元</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49C22C0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有效发明专利效</w:t>
            </w:r>
          </w:p>
        </w:tc>
      </w:tr>
      <w:tr w:rsidR="008F1728" w14:paraId="32D6D7E6" w14:textId="77777777" w:rsidTr="00244DEC">
        <w:trPr>
          <w:trHeight w:val="752"/>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704EBBA5"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发明</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178192E5"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一种电池包内阻异常模块的识别方法及其存储</w:t>
            </w:r>
            <w:r>
              <w:rPr>
                <w:rFonts w:eastAsia="方正仿宋_GBK" w:cs="方正仿宋_GB2312" w:hint="eastAsia"/>
                <w:sz w:val="21"/>
                <w:szCs w:val="21"/>
              </w:rPr>
              <w:lastRenderedPageBreak/>
              <w:t>介质</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60ED08A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lastRenderedPageBreak/>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00729225"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CN113533985B</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465D38E2"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2024.05.03</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015C0CB9"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6959994</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360D33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74950102"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林楠；周祥；杨思文；赵长军</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1354AF54"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有效发明专利</w:t>
            </w:r>
          </w:p>
        </w:tc>
      </w:tr>
      <w:tr w:rsidR="008F1728" w14:paraId="4FD9D1AD" w14:textId="77777777" w:rsidTr="00244DEC">
        <w:trPr>
          <w:trHeight w:val="834"/>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772556BD"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发明</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6E7D75B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一种锂离子电池模块</w:t>
            </w:r>
            <w:r>
              <w:rPr>
                <w:rFonts w:eastAsia="方正仿宋_GBK" w:cs="方正仿宋_GB2312" w:hint="eastAsia"/>
                <w:sz w:val="21"/>
                <w:szCs w:val="21"/>
              </w:rPr>
              <w:t>SOC</w:t>
            </w:r>
            <w:r>
              <w:rPr>
                <w:rFonts w:eastAsia="方正仿宋_GBK" w:cs="方正仿宋_GB2312" w:hint="eastAsia"/>
                <w:sz w:val="21"/>
                <w:szCs w:val="21"/>
              </w:rPr>
              <w:t>差计算方法及设备</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5E1AAED9"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40B296EB"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CN113625176B</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1E549847"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2024.02.09</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2E62ACA4"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6701044</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1A85E90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1E4A2031"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林楠；周祥；杨思文；赵长军；胡攀攀</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1CC1BF6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有效发明专利</w:t>
            </w:r>
          </w:p>
        </w:tc>
      </w:tr>
      <w:tr w:rsidR="008F1728" w14:paraId="2DB9C8E2" w14:textId="77777777" w:rsidTr="00244DEC">
        <w:trPr>
          <w:trHeight w:val="779"/>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724DB735"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发明</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2A7A5288"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一种电池大数据平台电池模块内阻异常识别方法及系统</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31BD030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3B28D77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CN115166555B</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28DDC59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2024.09.17</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5EF327B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7379788</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148B31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4D0A3D23"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林楠；赵长军；杨思文</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1CD836C4"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有效发明专利</w:t>
            </w:r>
          </w:p>
        </w:tc>
      </w:tr>
      <w:tr w:rsidR="008F1728" w14:paraId="1F9B3931" w14:textId="77777777" w:rsidTr="00244DEC">
        <w:trPr>
          <w:trHeight w:val="2071"/>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4B5C4B1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发明</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2EBA562D"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一种基于智能决策的跨区域数据获取方法及系统</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3D88D07E"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44B34AF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CN120578658B</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2D4EB8D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2025.09.26</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40171B21"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8301377</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1788BD7"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中国科学技术大学</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1899A28E" w14:textId="77777777" w:rsidR="008F1728" w:rsidRDefault="008F1728" w:rsidP="00244DEC">
            <w:pPr>
              <w:adjustRightInd w:val="0"/>
              <w:snapToGrid w:val="0"/>
              <w:ind w:firstLineChars="0" w:firstLine="0"/>
              <w:rPr>
                <w:rFonts w:eastAsia="方正仿宋_GBK" w:cs="方正仿宋_GB2312"/>
                <w:sz w:val="21"/>
                <w:szCs w:val="21"/>
              </w:rPr>
            </w:pPr>
            <w:r>
              <w:rPr>
                <w:rFonts w:eastAsia="方正仿宋_GBK" w:cs="方正仿宋_GB2312" w:hint="eastAsia"/>
                <w:sz w:val="21"/>
                <w:szCs w:val="21"/>
              </w:rPr>
              <w:t>李利民；汪炀；王旭；孙兆阳；周正阳；王鹏焜</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58FDE731"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有效发明专利</w:t>
            </w:r>
          </w:p>
        </w:tc>
      </w:tr>
      <w:tr w:rsidR="008F1728" w14:paraId="2ADE04D0" w14:textId="77777777" w:rsidTr="00244DEC">
        <w:trPr>
          <w:trHeight w:val="779"/>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20EDBFFB"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实用新型</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5BEAB5FB"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电池数据传输系统</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5654480E"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7A5D342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CN223348794U</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64A77C2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2025.09.16</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08540F3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23332162</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1BD75E6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304E926E"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汪杰；丁方舟；郑中华</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51545216"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其他有效知识产权</w:t>
            </w:r>
          </w:p>
        </w:tc>
      </w:tr>
      <w:tr w:rsidR="008F1728" w14:paraId="25F611DE" w14:textId="77777777" w:rsidTr="00244DEC">
        <w:trPr>
          <w:trHeight w:val="752"/>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226B6BD7"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实用新型</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0E14ED8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储能电站数据采集系统</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53E80B89"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080F5DEA"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CN224154019U</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50929700"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2026.04.21</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22B7AF4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24138903</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7BCCB758"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77A2A8C5"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丁方舟；汪杰；郑中华</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36318CDF"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其他有效知识产权</w:t>
            </w:r>
          </w:p>
        </w:tc>
      </w:tr>
      <w:tr w:rsidR="008F1728" w14:paraId="69C969E1" w14:textId="77777777" w:rsidTr="00244DEC">
        <w:trPr>
          <w:trHeight w:val="807"/>
          <w:jc w:val="center"/>
        </w:trPr>
        <w:tc>
          <w:tcPr>
            <w:tcW w:w="1088" w:type="dxa"/>
            <w:tcBorders>
              <w:top w:val="single" w:sz="4" w:space="0" w:color="auto"/>
              <w:left w:val="single" w:sz="8" w:space="0" w:color="auto"/>
              <w:bottom w:val="single" w:sz="4" w:space="0" w:color="auto"/>
              <w:right w:val="single" w:sz="4" w:space="0" w:color="auto"/>
              <w:tl2br w:val="nil"/>
              <w:tr2bl w:val="nil"/>
            </w:tcBorders>
            <w:vAlign w:val="center"/>
          </w:tcPr>
          <w:p w14:paraId="6C1836BB"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软件著作权</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14:paraId="77F88FE7"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国轩智慧储能监控云平台</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14:paraId="15B58762"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中国</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14:paraId="701774D1"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2024SR1502574</w:t>
            </w:r>
          </w:p>
        </w:tc>
        <w:tc>
          <w:tcPr>
            <w:tcW w:w="884" w:type="dxa"/>
            <w:tcBorders>
              <w:top w:val="single" w:sz="4" w:space="0" w:color="auto"/>
              <w:left w:val="single" w:sz="4" w:space="0" w:color="auto"/>
              <w:bottom w:val="single" w:sz="4" w:space="0" w:color="auto"/>
              <w:right w:val="single" w:sz="4" w:space="0" w:color="auto"/>
              <w:tl2br w:val="nil"/>
              <w:tr2bl w:val="nil"/>
            </w:tcBorders>
            <w:vAlign w:val="center"/>
          </w:tcPr>
          <w:p w14:paraId="4EE97B4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2024.10.11</w:t>
            </w:r>
          </w:p>
        </w:tc>
        <w:tc>
          <w:tcPr>
            <w:tcW w:w="1057" w:type="dxa"/>
            <w:tcBorders>
              <w:top w:val="single" w:sz="4" w:space="0" w:color="auto"/>
              <w:left w:val="single" w:sz="4" w:space="0" w:color="auto"/>
              <w:bottom w:val="single" w:sz="4" w:space="0" w:color="auto"/>
              <w:right w:val="single" w:sz="4" w:space="0" w:color="auto"/>
              <w:tl2br w:val="nil"/>
              <w:tr2bl w:val="nil"/>
            </w:tcBorders>
            <w:vAlign w:val="center"/>
          </w:tcPr>
          <w:p w14:paraId="6E2BF8BC"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第</w:t>
            </w:r>
            <w:r>
              <w:rPr>
                <w:rFonts w:eastAsia="方正仿宋_GBK" w:cs="方正仿宋_GB2312" w:hint="eastAsia"/>
                <w:sz w:val="21"/>
                <w:szCs w:val="21"/>
              </w:rPr>
              <w:t>13906447</w:t>
            </w:r>
            <w:r>
              <w:rPr>
                <w:rFonts w:eastAsia="方正仿宋_GBK" w:cs="方正仿宋_GB2312" w:hint="eastAsia"/>
                <w:sz w:val="21"/>
                <w:szCs w:val="21"/>
              </w:rPr>
              <w:t>号</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7F2343E"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合肥国轩高科动力能源有限公司</w:t>
            </w:r>
          </w:p>
        </w:tc>
        <w:tc>
          <w:tcPr>
            <w:tcW w:w="976" w:type="dxa"/>
            <w:tcBorders>
              <w:top w:val="single" w:sz="4" w:space="0" w:color="auto"/>
              <w:left w:val="single" w:sz="4" w:space="0" w:color="auto"/>
              <w:bottom w:val="single" w:sz="4" w:space="0" w:color="auto"/>
              <w:right w:val="single" w:sz="4" w:space="0" w:color="auto"/>
              <w:tl2br w:val="nil"/>
              <w:tr2bl w:val="nil"/>
            </w:tcBorders>
            <w:vAlign w:val="center"/>
          </w:tcPr>
          <w:p w14:paraId="11CAF063" w14:textId="77777777" w:rsidR="008F1728" w:rsidRDefault="008F1728" w:rsidP="00244DEC">
            <w:pPr>
              <w:adjustRightInd w:val="0"/>
              <w:snapToGrid w:val="0"/>
              <w:ind w:firstLineChars="0" w:firstLine="0"/>
              <w:rPr>
                <w:rFonts w:eastAsia="方正仿宋_GBK" w:cs="方正仿宋_GB2312"/>
                <w:sz w:val="21"/>
                <w:szCs w:val="21"/>
              </w:rPr>
            </w:pPr>
            <w:r>
              <w:rPr>
                <w:rFonts w:eastAsia="方正仿宋_GBK" w:cs="方正仿宋_GB2312" w:hint="eastAsia"/>
                <w:sz w:val="21"/>
                <w:szCs w:val="21"/>
              </w:rPr>
              <w:t>罗达志；刘威；林楠；王虎；汪杰；郑中华；方舟</w:t>
            </w:r>
          </w:p>
        </w:tc>
        <w:tc>
          <w:tcPr>
            <w:tcW w:w="1058" w:type="dxa"/>
            <w:tcBorders>
              <w:top w:val="single" w:sz="4" w:space="0" w:color="auto"/>
              <w:left w:val="single" w:sz="4" w:space="0" w:color="auto"/>
              <w:bottom w:val="single" w:sz="4" w:space="0" w:color="auto"/>
              <w:right w:val="single" w:sz="8" w:space="0" w:color="auto"/>
              <w:tl2br w:val="nil"/>
              <w:tr2bl w:val="nil"/>
            </w:tcBorders>
            <w:vAlign w:val="center"/>
          </w:tcPr>
          <w:p w14:paraId="3174D2D8" w14:textId="77777777" w:rsidR="008F1728" w:rsidRDefault="008F1728" w:rsidP="00244DEC">
            <w:pPr>
              <w:adjustRightInd w:val="0"/>
              <w:snapToGrid w:val="0"/>
              <w:ind w:firstLineChars="0" w:firstLine="0"/>
              <w:jc w:val="center"/>
              <w:rPr>
                <w:rFonts w:eastAsia="方正仿宋_GBK" w:cs="方正仿宋_GB2312"/>
                <w:sz w:val="21"/>
                <w:szCs w:val="21"/>
              </w:rPr>
            </w:pPr>
            <w:r>
              <w:rPr>
                <w:rFonts w:eastAsia="方正仿宋_GBK" w:cs="方正仿宋_GB2312" w:hint="eastAsia"/>
                <w:sz w:val="21"/>
                <w:szCs w:val="21"/>
              </w:rPr>
              <w:t>其他有效知识产权</w:t>
            </w:r>
          </w:p>
        </w:tc>
      </w:tr>
    </w:tbl>
    <w:p w14:paraId="6EEFCC87" w14:textId="77777777" w:rsidR="008F1728" w:rsidRDefault="008F1728" w:rsidP="008F1728">
      <w:pPr>
        <w:ind w:firstLine="602"/>
        <w:rPr>
          <w:b/>
          <w:bCs/>
        </w:rPr>
      </w:pPr>
    </w:p>
    <w:p w14:paraId="0086578D" w14:textId="77777777" w:rsidR="008F1728" w:rsidRDefault="008F1728" w:rsidP="008F1728">
      <w:pPr>
        <w:ind w:firstLine="602"/>
        <w:rPr>
          <w:b/>
          <w:bCs/>
        </w:rPr>
      </w:pPr>
      <w:r>
        <w:rPr>
          <w:rFonts w:hint="eastAsia"/>
          <w:b/>
          <w:bCs/>
        </w:rPr>
        <w:lastRenderedPageBreak/>
        <w:t>四、项目主要完成人情况</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
        <w:gridCol w:w="495"/>
        <w:gridCol w:w="826"/>
        <w:gridCol w:w="733"/>
        <w:gridCol w:w="1139"/>
        <w:gridCol w:w="1403"/>
        <w:gridCol w:w="4121"/>
      </w:tblGrid>
      <w:tr w:rsidR="008F1728" w14:paraId="0226EAB9" w14:textId="77777777" w:rsidTr="00244DEC">
        <w:trPr>
          <w:trHeight w:val="759"/>
          <w:jc w:val="center"/>
        </w:trPr>
        <w:tc>
          <w:tcPr>
            <w:tcW w:w="776" w:type="dxa"/>
            <w:tcBorders>
              <w:top w:val="single" w:sz="4" w:space="0" w:color="auto"/>
              <w:left w:val="single" w:sz="4" w:space="0" w:color="auto"/>
              <w:bottom w:val="single" w:sz="4" w:space="0" w:color="auto"/>
              <w:right w:val="single" w:sz="4" w:space="0" w:color="auto"/>
            </w:tcBorders>
            <w:vAlign w:val="center"/>
          </w:tcPr>
          <w:p w14:paraId="3CD95D1E" w14:textId="77777777" w:rsidR="008F1728" w:rsidRDefault="008F1728" w:rsidP="00244DEC">
            <w:pPr>
              <w:ind w:firstLineChars="0" w:firstLine="0"/>
              <w:jc w:val="center"/>
              <w:rPr>
                <w:b/>
                <w:bCs/>
                <w:sz w:val="18"/>
                <w:szCs w:val="18"/>
              </w:rPr>
            </w:pPr>
            <w:r>
              <w:rPr>
                <w:rFonts w:hint="eastAsia"/>
                <w:b/>
                <w:bCs/>
                <w:sz w:val="18"/>
                <w:szCs w:val="18"/>
              </w:rPr>
              <w:t>姓名</w:t>
            </w:r>
          </w:p>
        </w:tc>
        <w:tc>
          <w:tcPr>
            <w:tcW w:w="495" w:type="dxa"/>
            <w:tcBorders>
              <w:top w:val="single" w:sz="4" w:space="0" w:color="auto"/>
              <w:left w:val="single" w:sz="4" w:space="0" w:color="auto"/>
              <w:bottom w:val="single" w:sz="4" w:space="0" w:color="auto"/>
              <w:right w:val="single" w:sz="4" w:space="0" w:color="auto"/>
            </w:tcBorders>
            <w:vAlign w:val="center"/>
          </w:tcPr>
          <w:p w14:paraId="79D617C5" w14:textId="77777777" w:rsidR="008F1728" w:rsidRDefault="008F1728" w:rsidP="00244DEC">
            <w:pPr>
              <w:ind w:firstLineChars="0" w:firstLine="0"/>
              <w:jc w:val="center"/>
              <w:rPr>
                <w:b/>
                <w:bCs/>
                <w:sz w:val="18"/>
                <w:szCs w:val="18"/>
              </w:rPr>
            </w:pPr>
            <w:r>
              <w:rPr>
                <w:rFonts w:hint="eastAsia"/>
                <w:b/>
                <w:bCs/>
                <w:sz w:val="18"/>
                <w:szCs w:val="18"/>
              </w:rPr>
              <w:t>排名</w:t>
            </w:r>
          </w:p>
        </w:tc>
        <w:tc>
          <w:tcPr>
            <w:tcW w:w="826" w:type="dxa"/>
            <w:tcBorders>
              <w:top w:val="single" w:sz="4" w:space="0" w:color="auto"/>
              <w:left w:val="single" w:sz="4" w:space="0" w:color="auto"/>
              <w:bottom w:val="single" w:sz="4" w:space="0" w:color="auto"/>
              <w:right w:val="single" w:sz="4" w:space="0" w:color="auto"/>
            </w:tcBorders>
            <w:vAlign w:val="center"/>
          </w:tcPr>
          <w:p w14:paraId="255ADE00" w14:textId="77777777" w:rsidR="008F1728" w:rsidRDefault="008F1728" w:rsidP="00244DEC">
            <w:pPr>
              <w:ind w:firstLineChars="0" w:firstLine="0"/>
              <w:jc w:val="center"/>
              <w:rPr>
                <w:b/>
                <w:bCs/>
                <w:sz w:val="18"/>
                <w:szCs w:val="18"/>
              </w:rPr>
            </w:pPr>
            <w:r>
              <w:rPr>
                <w:rFonts w:hint="eastAsia"/>
                <w:b/>
                <w:bCs/>
                <w:sz w:val="18"/>
                <w:szCs w:val="18"/>
              </w:rPr>
              <w:t>行政职务</w:t>
            </w:r>
          </w:p>
        </w:tc>
        <w:tc>
          <w:tcPr>
            <w:tcW w:w="733" w:type="dxa"/>
            <w:tcBorders>
              <w:top w:val="single" w:sz="4" w:space="0" w:color="auto"/>
              <w:left w:val="single" w:sz="4" w:space="0" w:color="auto"/>
              <w:bottom w:val="single" w:sz="4" w:space="0" w:color="auto"/>
              <w:right w:val="single" w:sz="4" w:space="0" w:color="auto"/>
            </w:tcBorders>
            <w:vAlign w:val="center"/>
          </w:tcPr>
          <w:p w14:paraId="2A035C2D" w14:textId="77777777" w:rsidR="008F1728" w:rsidRDefault="008F1728" w:rsidP="00244DEC">
            <w:pPr>
              <w:ind w:firstLineChars="0" w:firstLine="0"/>
              <w:jc w:val="center"/>
              <w:rPr>
                <w:b/>
                <w:bCs/>
                <w:sz w:val="18"/>
                <w:szCs w:val="18"/>
              </w:rPr>
            </w:pPr>
            <w:r>
              <w:rPr>
                <w:rFonts w:hint="eastAsia"/>
                <w:b/>
                <w:bCs/>
                <w:sz w:val="18"/>
                <w:szCs w:val="18"/>
              </w:rPr>
              <w:t>技术职称</w:t>
            </w:r>
          </w:p>
        </w:tc>
        <w:tc>
          <w:tcPr>
            <w:tcW w:w="1139" w:type="dxa"/>
            <w:tcBorders>
              <w:top w:val="single" w:sz="4" w:space="0" w:color="auto"/>
              <w:left w:val="single" w:sz="4" w:space="0" w:color="auto"/>
              <w:bottom w:val="single" w:sz="4" w:space="0" w:color="auto"/>
              <w:right w:val="single" w:sz="4" w:space="0" w:color="auto"/>
            </w:tcBorders>
            <w:vAlign w:val="center"/>
          </w:tcPr>
          <w:p w14:paraId="5DF3EA56" w14:textId="77777777" w:rsidR="008F1728" w:rsidRDefault="008F1728" w:rsidP="00244DEC">
            <w:pPr>
              <w:ind w:firstLineChars="0" w:firstLine="0"/>
              <w:jc w:val="center"/>
              <w:rPr>
                <w:b/>
                <w:bCs/>
                <w:sz w:val="18"/>
                <w:szCs w:val="18"/>
              </w:rPr>
            </w:pPr>
            <w:r>
              <w:rPr>
                <w:rFonts w:hint="eastAsia"/>
                <w:b/>
                <w:bCs/>
                <w:sz w:val="18"/>
                <w:szCs w:val="18"/>
              </w:rPr>
              <w:t>工作</w:t>
            </w:r>
          </w:p>
          <w:p w14:paraId="7171C3B9" w14:textId="77777777" w:rsidR="008F1728" w:rsidRDefault="008F1728" w:rsidP="00244DEC">
            <w:pPr>
              <w:ind w:firstLineChars="0" w:firstLine="0"/>
              <w:jc w:val="center"/>
              <w:rPr>
                <w:b/>
                <w:bCs/>
                <w:sz w:val="18"/>
                <w:szCs w:val="18"/>
              </w:rPr>
            </w:pPr>
            <w:r>
              <w:rPr>
                <w:rFonts w:hint="eastAsia"/>
                <w:b/>
                <w:bCs/>
                <w:sz w:val="18"/>
                <w:szCs w:val="18"/>
              </w:rPr>
              <w:t>单位</w:t>
            </w:r>
          </w:p>
        </w:tc>
        <w:tc>
          <w:tcPr>
            <w:tcW w:w="1403" w:type="dxa"/>
            <w:tcBorders>
              <w:top w:val="single" w:sz="4" w:space="0" w:color="auto"/>
              <w:left w:val="single" w:sz="4" w:space="0" w:color="auto"/>
              <w:bottom w:val="single" w:sz="4" w:space="0" w:color="auto"/>
              <w:right w:val="single" w:sz="4" w:space="0" w:color="auto"/>
            </w:tcBorders>
            <w:vAlign w:val="center"/>
          </w:tcPr>
          <w:p w14:paraId="346E9249" w14:textId="77777777" w:rsidR="008F1728" w:rsidRDefault="008F1728" w:rsidP="00244DEC">
            <w:pPr>
              <w:ind w:firstLineChars="0" w:firstLine="0"/>
              <w:jc w:val="center"/>
              <w:rPr>
                <w:b/>
                <w:bCs/>
                <w:sz w:val="18"/>
                <w:szCs w:val="18"/>
              </w:rPr>
            </w:pPr>
            <w:r>
              <w:rPr>
                <w:rFonts w:hint="eastAsia"/>
                <w:b/>
                <w:bCs/>
                <w:sz w:val="18"/>
                <w:szCs w:val="18"/>
              </w:rPr>
              <w:t>完成</w:t>
            </w:r>
          </w:p>
          <w:p w14:paraId="10EEBA96" w14:textId="77777777" w:rsidR="008F1728" w:rsidRDefault="008F1728" w:rsidP="00244DEC">
            <w:pPr>
              <w:ind w:firstLineChars="0" w:firstLine="0"/>
              <w:jc w:val="center"/>
              <w:rPr>
                <w:b/>
                <w:bCs/>
                <w:sz w:val="18"/>
                <w:szCs w:val="18"/>
              </w:rPr>
            </w:pPr>
            <w:r>
              <w:rPr>
                <w:b/>
                <w:bCs/>
                <w:sz w:val="18"/>
                <w:szCs w:val="18"/>
              </w:rPr>
              <w:t>单位</w:t>
            </w:r>
          </w:p>
        </w:tc>
        <w:tc>
          <w:tcPr>
            <w:tcW w:w="4121" w:type="dxa"/>
            <w:tcBorders>
              <w:top w:val="single" w:sz="4" w:space="0" w:color="auto"/>
              <w:left w:val="single" w:sz="4" w:space="0" w:color="auto"/>
              <w:bottom w:val="single" w:sz="4" w:space="0" w:color="auto"/>
              <w:right w:val="single" w:sz="4" w:space="0" w:color="auto"/>
            </w:tcBorders>
            <w:vAlign w:val="center"/>
          </w:tcPr>
          <w:p w14:paraId="3178CB95" w14:textId="77777777" w:rsidR="008F1728" w:rsidRDefault="008F1728" w:rsidP="00244DEC">
            <w:pPr>
              <w:ind w:firstLineChars="0" w:firstLine="0"/>
              <w:jc w:val="center"/>
              <w:rPr>
                <w:b/>
                <w:bCs/>
                <w:sz w:val="18"/>
                <w:szCs w:val="18"/>
              </w:rPr>
            </w:pPr>
            <w:r>
              <w:rPr>
                <w:rFonts w:hint="eastAsia"/>
                <w:b/>
                <w:bCs/>
                <w:sz w:val="18"/>
                <w:szCs w:val="18"/>
              </w:rPr>
              <w:t>对项目贡献</w:t>
            </w:r>
          </w:p>
        </w:tc>
      </w:tr>
      <w:tr w:rsidR="008F1728" w14:paraId="090F321C" w14:textId="77777777" w:rsidTr="00244DEC">
        <w:trPr>
          <w:trHeight w:hRule="exact" w:val="3771"/>
          <w:jc w:val="center"/>
        </w:trPr>
        <w:tc>
          <w:tcPr>
            <w:tcW w:w="776" w:type="dxa"/>
            <w:tcBorders>
              <w:top w:val="single" w:sz="4" w:space="0" w:color="auto"/>
              <w:left w:val="single" w:sz="4" w:space="0" w:color="auto"/>
              <w:bottom w:val="single" w:sz="4" w:space="0" w:color="auto"/>
              <w:right w:val="single" w:sz="4" w:space="0" w:color="auto"/>
            </w:tcBorders>
            <w:vAlign w:val="center"/>
          </w:tcPr>
          <w:p w14:paraId="2A077BA6" w14:textId="77777777" w:rsidR="008F1728" w:rsidRDefault="008F1728" w:rsidP="00244DEC">
            <w:pPr>
              <w:ind w:firstLineChars="0" w:firstLine="0"/>
              <w:jc w:val="left"/>
              <w:rPr>
                <w:rFonts w:eastAsia="方正仿宋_GBK" w:cs="方正仿宋_GB2312"/>
                <w:sz w:val="21"/>
              </w:rPr>
            </w:pPr>
            <w:r>
              <w:rPr>
                <w:rFonts w:eastAsia="方正仿宋_GBK" w:cs="方正仿宋_GB2312"/>
                <w:sz w:val="21"/>
              </w:rPr>
              <w:t>罗达志</w:t>
            </w:r>
          </w:p>
        </w:tc>
        <w:tc>
          <w:tcPr>
            <w:tcW w:w="495" w:type="dxa"/>
            <w:tcBorders>
              <w:top w:val="single" w:sz="4" w:space="0" w:color="auto"/>
              <w:left w:val="single" w:sz="4" w:space="0" w:color="auto"/>
              <w:bottom w:val="single" w:sz="4" w:space="0" w:color="auto"/>
              <w:right w:val="single" w:sz="4" w:space="0" w:color="auto"/>
            </w:tcBorders>
            <w:vAlign w:val="center"/>
          </w:tcPr>
          <w:p w14:paraId="7C1F4ADF"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1</w:t>
            </w:r>
          </w:p>
        </w:tc>
        <w:tc>
          <w:tcPr>
            <w:tcW w:w="826" w:type="dxa"/>
            <w:tcBorders>
              <w:top w:val="single" w:sz="4" w:space="0" w:color="auto"/>
              <w:left w:val="single" w:sz="4" w:space="0" w:color="auto"/>
              <w:bottom w:val="single" w:sz="4" w:space="0" w:color="auto"/>
              <w:right w:val="single" w:sz="4" w:space="0" w:color="auto"/>
            </w:tcBorders>
            <w:vAlign w:val="center"/>
          </w:tcPr>
          <w:p w14:paraId="57884D5D" w14:textId="77777777" w:rsidR="008F1728" w:rsidRDefault="008F1728" w:rsidP="00244DEC">
            <w:pPr>
              <w:ind w:firstLineChars="0" w:firstLine="0"/>
              <w:jc w:val="left"/>
              <w:rPr>
                <w:rFonts w:eastAsia="方正仿宋_GBK" w:cs="方正仿宋_GB2312"/>
                <w:sz w:val="21"/>
              </w:rPr>
            </w:pPr>
            <w:r>
              <w:rPr>
                <w:rFonts w:eastAsia="方正仿宋_GBK" w:cs="方正仿宋_GB2312"/>
                <w:sz w:val="21"/>
              </w:rPr>
              <w:t>主任</w:t>
            </w:r>
          </w:p>
        </w:tc>
        <w:tc>
          <w:tcPr>
            <w:tcW w:w="733" w:type="dxa"/>
            <w:tcBorders>
              <w:top w:val="single" w:sz="4" w:space="0" w:color="auto"/>
              <w:left w:val="single" w:sz="4" w:space="0" w:color="auto"/>
              <w:bottom w:val="single" w:sz="4" w:space="0" w:color="auto"/>
              <w:right w:val="single" w:sz="4" w:space="0" w:color="auto"/>
            </w:tcBorders>
            <w:vAlign w:val="center"/>
          </w:tcPr>
          <w:p w14:paraId="230CC878"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高级工程师</w:t>
            </w:r>
          </w:p>
        </w:tc>
        <w:tc>
          <w:tcPr>
            <w:tcW w:w="1139" w:type="dxa"/>
            <w:tcBorders>
              <w:top w:val="single" w:sz="4" w:space="0" w:color="auto"/>
              <w:left w:val="single" w:sz="4" w:space="0" w:color="auto"/>
              <w:bottom w:val="single" w:sz="4" w:space="0" w:color="auto"/>
              <w:right w:val="single" w:sz="4" w:space="0" w:color="auto"/>
            </w:tcBorders>
            <w:vAlign w:val="center"/>
          </w:tcPr>
          <w:p w14:paraId="3C737BB6"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355DBFF9"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689A788A" w14:textId="77777777" w:rsidR="008F1728" w:rsidRDefault="008F1728" w:rsidP="00244DEC">
            <w:pPr>
              <w:spacing w:line="204" w:lineRule="auto"/>
              <w:ind w:firstLineChars="0" w:firstLine="0"/>
              <w:jc w:val="left"/>
              <w:rPr>
                <w:sz w:val="18"/>
                <w:szCs w:val="18"/>
              </w:rPr>
            </w:pPr>
            <w:r>
              <w:rPr>
                <w:rFonts w:eastAsia="方正仿宋_GBK" w:cs="方正仿宋_GB2312"/>
                <w:sz w:val="21"/>
              </w:rPr>
              <w:t>负责项目整体方案的设计和</w:t>
            </w:r>
            <w:r>
              <w:rPr>
                <w:rFonts w:eastAsia="方正仿宋_GBK" w:cs="方正仿宋_GB2312" w:hint="eastAsia"/>
                <w:sz w:val="21"/>
              </w:rPr>
              <w:t>系统</w:t>
            </w:r>
            <w:r>
              <w:rPr>
                <w:rFonts w:eastAsia="方正仿宋_GBK" w:cs="方正仿宋_GB2312"/>
                <w:sz w:val="21"/>
              </w:rPr>
              <w:t>架构</w:t>
            </w:r>
            <w:r>
              <w:rPr>
                <w:rFonts w:eastAsia="方正仿宋_GBK" w:cs="方正仿宋_GB2312"/>
                <w:sz w:val="21"/>
              </w:rPr>
              <w:t>0-1</w:t>
            </w:r>
            <w:r>
              <w:rPr>
                <w:rFonts w:eastAsia="方正仿宋_GBK" w:cs="方正仿宋_GB2312"/>
                <w:sz w:val="21"/>
              </w:rPr>
              <w:t>的搭建，组建研发团队完成大数据云平台和算法框架的设计、开发流程的制定和预警算法模块核心策略研发等</w:t>
            </w:r>
            <w:r>
              <w:rPr>
                <w:rFonts w:eastAsia="方正仿宋_GBK" w:cs="方正仿宋_GB2312" w:hint="eastAsia"/>
                <w:sz w:val="21"/>
              </w:rPr>
              <w:t>，</w:t>
            </w:r>
            <w:r>
              <w:rPr>
                <w:rFonts w:eastAsia="方正仿宋_GBK" w:cs="方正仿宋_GB2312"/>
                <w:sz w:val="21"/>
              </w:rPr>
              <w:t>为算法</w:t>
            </w:r>
            <w:r>
              <w:rPr>
                <w:rFonts w:eastAsia="方正仿宋_GBK" w:cs="方正仿宋_GB2312" w:hint="eastAsia"/>
                <w:sz w:val="21"/>
              </w:rPr>
              <w:t>研发和工程化</w:t>
            </w:r>
            <w:r>
              <w:rPr>
                <w:rFonts w:eastAsia="方正仿宋_GBK" w:cs="方正仿宋_GB2312"/>
                <w:sz w:val="21"/>
              </w:rPr>
              <w:t>提供强有力的支撑</w:t>
            </w:r>
            <w:r>
              <w:rPr>
                <w:rFonts w:eastAsia="方正仿宋_GBK" w:cs="方正仿宋_GB2312" w:hint="eastAsia"/>
                <w:sz w:val="21"/>
              </w:rPr>
              <w:t>，是项目的总体架构专家，也</w:t>
            </w:r>
            <w:r>
              <w:rPr>
                <w:rFonts w:eastAsia="方正仿宋_GBK" w:cs="方正仿宋_GB2312"/>
                <w:sz w:val="21"/>
              </w:rPr>
              <w:t>是创新点</w:t>
            </w:r>
            <w:r>
              <w:rPr>
                <w:rFonts w:eastAsia="方正仿宋_GBK" w:cs="方正仿宋_GB2312" w:hint="eastAsia"/>
                <w:sz w:val="21"/>
              </w:rPr>
              <w:t>1</w:t>
            </w:r>
            <w:r>
              <w:rPr>
                <w:rFonts w:eastAsia="方正仿宋_GBK" w:cs="方正仿宋_GB2312" w:hint="eastAsia"/>
                <w:sz w:val="21"/>
              </w:rPr>
              <w:t>和</w:t>
            </w:r>
            <w:r>
              <w:rPr>
                <w:rFonts w:eastAsia="方正仿宋_GBK" w:cs="方正仿宋_GB2312" w:hint="eastAsia"/>
                <w:sz w:val="21"/>
              </w:rPr>
              <w:t>2</w:t>
            </w:r>
            <w:r>
              <w:rPr>
                <w:rFonts w:eastAsia="方正仿宋_GBK" w:cs="方正仿宋_GB2312"/>
                <w:sz w:val="21"/>
              </w:rPr>
              <w:t>的主要贡献者</w:t>
            </w:r>
            <w:r>
              <w:rPr>
                <w:rFonts w:eastAsia="方正仿宋_GBK" w:cs="方正仿宋_GB2312" w:hint="eastAsia"/>
                <w:sz w:val="21"/>
              </w:rPr>
              <w:t>。</w:t>
            </w:r>
          </w:p>
        </w:tc>
      </w:tr>
      <w:tr w:rsidR="008F1728" w14:paraId="3336834D" w14:textId="77777777" w:rsidTr="00244DEC">
        <w:trPr>
          <w:trHeight w:hRule="exact" w:val="4274"/>
          <w:jc w:val="center"/>
        </w:trPr>
        <w:tc>
          <w:tcPr>
            <w:tcW w:w="776" w:type="dxa"/>
            <w:tcBorders>
              <w:top w:val="single" w:sz="4" w:space="0" w:color="auto"/>
              <w:left w:val="single" w:sz="4" w:space="0" w:color="auto"/>
              <w:bottom w:val="single" w:sz="4" w:space="0" w:color="auto"/>
              <w:right w:val="single" w:sz="4" w:space="0" w:color="auto"/>
            </w:tcBorders>
            <w:vAlign w:val="center"/>
          </w:tcPr>
          <w:p w14:paraId="270205D5" w14:textId="77777777" w:rsidR="008F1728" w:rsidRDefault="008F1728" w:rsidP="00244DEC">
            <w:pPr>
              <w:ind w:firstLineChars="0" w:firstLine="0"/>
              <w:jc w:val="center"/>
              <w:rPr>
                <w:sz w:val="18"/>
                <w:szCs w:val="18"/>
              </w:rPr>
            </w:pPr>
            <w:r>
              <w:rPr>
                <w:rFonts w:eastAsia="方正仿宋_GBK" w:cs="方正仿宋_GB2312" w:hint="eastAsia"/>
                <w:sz w:val="21"/>
              </w:rPr>
              <w:t>汪炀</w:t>
            </w:r>
          </w:p>
        </w:tc>
        <w:tc>
          <w:tcPr>
            <w:tcW w:w="495" w:type="dxa"/>
            <w:tcBorders>
              <w:top w:val="single" w:sz="4" w:space="0" w:color="auto"/>
              <w:left w:val="single" w:sz="4" w:space="0" w:color="auto"/>
              <w:bottom w:val="single" w:sz="4" w:space="0" w:color="auto"/>
              <w:right w:val="single" w:sz="4" w:space="0" w:color="auto"/>
            </w:tcBorders>
            <w:vAlign w:val="center"/>
          </w:tcPr>
          <w:p w14:paraId="13A695EC" w14:textId="77777777" w:rsidR="008F1728" w:rsidRDefault="008F1728" w:rsidP="00244DEC">
            <w:pPr>
              <w:ind w:firstLineChars="0" w:firstLine="0"/>
              <w:jc w:val="center"/>
              <w:rPr>
                <w:sz w:val="18"/>
                <w:szCs w:val="18"/>
              </w:rPr>
            </w:pPr>
            <w:r>
              <w:rPr>
                <w:rFonts w:hint="eastAsia"/>
                <w:sz w:val="18"/>
                <w:szCs w:val="18"/>
              </w:rPr>
              <w:t>2</w:t>
            </w:r>
          </w:p>
        </w:tc>
        <w:tc>
          <w:tcPr>
            <w:tcW w:w="826" w:type="dxa"/>
            <w:tcBorders>
              <w:top w:val="single" w:sz="4" w:space="0" w:color="auto"/>
              <w:left w:val="single" w:sz="4" w:space="0" w:color="auto"/>
              <w:bottom w:val="single" w:sz="4" w:space="0" w:color="auto"/>
              <w:right w:val="single" w:sz="4" w:space="0" w:color="auto"/>
            </w:tcBorders>
            <w:vAlign w:val="center"/>
          </w:tcPr>
          <w:p w14:paraId="78D23488" w14:textId="77777777" w:rsidR="008F1728" w:rsidRDefault="008F1728" w:rsidP="00244DEC">
            <w:pPr>
              <w:ind w:firstLineChars="0" w:firstLine="0"/>
              <w:jc w:val="center"/>
              <w:rPr>
                <w:sz w:val="18"/>
                <w:szCs w:val="18"/>
              </w:rPr>
            </w:pPr>
            <w:r>
              <w:rPr>
                <w:rFonts w:eastAsia="方正仿宋_GBK" w:cs="方正仿宋_GB2312" w:hint="eastAsia"/>
                <w:sz w:val="21"/>
              </w:rPr>
              <w:t>苏州高等研究院副院长</w:t>
            </w:r>
          </w:p>
        </w:tc>
        <w:tc>
          <w:tcPr>
            <w:tcW w:w="733" w:type="dxa"/>
            <w:tcBorders>
              <w:top w:val="single" w:sz="4" w:space="0" w:color="auto"/>
              <w:left w:val="single" w:sz="4" w:space="0" w:color="auto"/>
              <w:bottom w:val="single" w:sz="4" w:space="0" w:color="auto"/>
              <w:right w:val="single" w:sz="4" w:space="0" w:color="auto"/>
            </w:tcBorders>
            <w:vAlign w:val="center"/>
          </w:tcPr>
          <w:p w14:paraId="33362F48" w14:textId="77777777" w:rsidR="008F1728" w:rsidRDefault="008F1728" w:rsidP="00244DEC">
            <w:pPr>
              <w:ind w:firstLineChars="0" w:firstLine="0"/>
              <w:jc w:val="center"/>
              <w:rPr>
                <w:sz w:val="18"/>
                <w:szCs w:val="18"/>
              </w:rPr>
            </w:pPr>
            <w:r>
              <w:rPr>
                <w:rFonts w:eastAsia="方正仿宋_GBK" w:cs="方正仿宋_GB2312" w:hint="eastAsia"/>
                <w:sz w:val="21"/>
              </w:rPr>
              <w:t>教授</w:t>
            </w:r>
          </w:p>
        </w:tc>
        <w:tc>
          <w:tcPr>
            <w:tcW w:w="1139" w:type="dxa"/>
            <w:tcBorders>
              <w:top w:val="single" w:sz="4" w:space="0" w:color="auto"/>
              <w:left w:val="single" w:sz="4" w:space="0" w:color="auto"/>
              <w:bottom w:val="single" w:sz="4" w:space="0" w:color="auto"/>
              <w:right w:val="single" w:sz="4" w:space="0" w:color="auto"/>
            </w:tcBorders>
            <w:vAlign w:val="center"/>
          </w:tcPr>
          <w:p w14:paraId="40C0A9F5"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中国科学技术大学</w:t>
            </w:r>
          </w:p>
        </w:tc>
        <w:tc>
          <w:tcPr>
            <w:tcW w:w="1403" w:type="dxa"/>
            <w:tcBorders>
              <w:top w:val="single" w:sz="4" w:space="0" w:color="auto"/>
              <w:left w:val="single" w:sz="4" w:space="0" w:color="auto"/>
              <w:bottom w:val="single" w:sz="4" w:space="0" w:color="auto"/>
              <w:right w:val="single" w:sz="4" w:space="0" w:color="auto"/>
            </w:tcBorders>
            <w:vAlign w:val="center"/>
          </w:tcPr>
          <w:p w14:paraId="3A44FCD0"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中国科学技术大学</w:t>
            </w:r>
          </w:p>
        </w:tc>
        <w:tc>
          <w:tcPr>
            <w:tcW w:w="4121" w:type="dxa"/>
            <w:tcBorders>
              <w:top w:val="single" w:sz="4" w:space="0" w:color="auto"/>
              <w:left w:val="single" w:sz="4" w:space="0" w:color="auto"/>
              <w:bottom w:val="single" w:sz="4" w:space="0" w:color="auto"/>
              <w:right w:val="single" w:sz="4" w:space="0" w:color="auto"/>
            </w:tcBorders>
            <w:vAlign w:val="center"/>
          </w:tcPr>
          <w:p w14:paraId="03A3851E" w14:textId="77777777" w:rsidR="008F1728" w:rsidRDefault="008F1728" w:rsidP="00244DEC">
            <w:pPr>
              <w:spacing w:line="204" w:lineRule="auto"/>
              <w:ind w:firstLineChars="0" w:firstLine="0"/>
              <w:jc w:val="left"/>
              <w:rPr>
                <w:sz w:val="18"/>
                <w:szCs w:val="18"/>
              </w:rPr>
            </w:pPr>
            <w:r>
              <w:rPr>
                <w:rFonts w:eastAsia="方正仿宋_GBK" w:cs="方正仿宋_GB2312"/>
                <w:sz w:val="21"/>
              </w:rPr>
              <w:t>牵头攻克了电池故障诊断跨空间泛化与冷启动难题，原创提出基于共性智能的跨区域异常识别技术路线，构建了</w:t>
            </w:r>
            <w:r>
              <w:rPr>
                <w:rFonts w:eastAsia="方正仿宋_GBK" w:cs="方正仿宋_GB2312"/>
                <w:sz w:val="21"/>
              </w:rPr>
              <w:t xml:space="preserve"> “</w:t>
            </w:r>
            <w:r>
              <w:rPr>
                <w:rFonts w:eastAsia="方正仿宋_GBK" w:cs="方正仿宋_GB2312"/>
                <w:sz w:val="21"/>
              </w:rPr>
              <w:t>条件</w:t>
            </w:r>
            <w:r>
              <w:rPr>
                <w:rFonts w:eastAsia="方正仿宋_GBK" w:cs="方正仿宋_GB2312"/>
                <w:sz w:val="21"/>
              </w:rPr>
              <w:t xml:space="preserve"> - </w:t>
            </w:r>
            <w:r>
              <w:rPr>
                <w:rFonts w:eastAsia="方正仿宋_GBK" w:cs="方正仿宋_GB2312"/>
                <w:sz w:val="21"/>
              </w:rPr>
              <w:t>观测交叉注意力</w:t>
            </w:r>
            <w:r>
              <w:rPr>
                <w:rFonts w:eastAsia="方正仿宋_GBK" w:cs="方正仿宋_GB2312"/>
                <w:sz w:val="21"/>
              </w:rPr>
              <w:t xml:space="preserve">” </w:t>
            </w:r>
            <w:r>
              <w:rPr>
                <w:rFonts w:eastAsia="方正仿宋_GBK" w:cs="方正仿宋_GB2312"/>
                <w:sz w:val="21"/>
              </w:rPr>
              <w:t>架构与交替学习策略，实现多场景共性规律挖掘与小样本快速适配构建高可靠电池安全监控体系提供了核心技术引领与权威支撑。</w:t>
            </w:r>
          </w:p>
        </w:tc>
      </w:tr>
      <w:tr w:rsidR="008F1728" w14:paraId="4475E7E4" w14:textId="77777777" w:rsidTr="00244DEC">
        <w:trPr>
          <w:trHeight w:hRule="exact" w:val="3967"/>
          <w:jc w:val="center"/>
        </w:trPr>
        <w:tc>
          <w:tcPr>
            <w:tcW w:w="776" w:type="dxa"/>
            <w:tcBorders>
              <w:top w:val="single" w:sz="4" w:space="0" w:color="auto"/>
              <w:left w:val="single" w:sz="4" w:space="0" w:color="auto"/>
              <w:bottom w:val="single" w:sz="4" w:space="0" w:color="auto"/>
              <w:right w:val="single" w:sz="4" w:space="0" w:color="auto"/>
            </w:tcBorders>
            <w:vAlign w:val="center"/>
          </w:tcPr>
          <w:p w14:paraId="4D57EBAD" w14:textId="77777777" w:rsidR="008F1728" w:rsidRDefault="008F1728" w:rsidP="00244DEC">
            <w:pPr>
              <w:ind w:firstLineChars="0" w:firstLine="0"/>
              <w:jc w:val="center"/>
              <w:rPr>
                <w:sz w:val="18"/>
                <w:szCs w:val="18"/>
              </w:rPr>
            </w:pPr>
            <w:r>
              <w:rPr>
                <w:rFonts w:eastAsia="方正仿宋_GBK" w:cs="方正仿宋_GB2312" w:hint="eastAsia"/>
                <w:sz w:val="21"/>
              </w:rPr>
              <w:t>林楠</w:t>
            </w:r>
          </w:p>
        </w:tc>
        <w:tc>
          <w:tcPr>
            <w:tcW w:w="495" w:type="dxa"/>
            <w:tcBorders>
              <w:top w:val="single" w:sz="4" w:space="0" w:color="auto"/>
              <w:left w:val="single" w:sz="4" w:space="0" w:color="auto"/>
              <w:bottom w:val="single" w:sz="4" w:space="0" w:color="auto"/>
              <w:right w:val="single" w:sz="4" w:space="0" w:color="auto"/>
            </w:tcBorders>
            <w:vAlign w:val="center"/>
          </w:tcPr>
          <w:p w14:paraId="40F9295C" w14:textId="77777777" w:rsidR="008F1728" w:rsidRDefault="008F1728" w:rsidP="00244DEC">
            <w:pPr>
              <w:ind w:firstLineChars="0" w:firstLine="0"/>
              <w:jc w:val="center"/>
              <w:rPr>
                <w:sz w:val="18"/>
                <w:szCs w:val="18"/>
              </w:rPr>
            </w:pPr>
            <w:r>
              <w:rPr>
                <w:rFonts w:hint="eastAsia"/>
                <w:sz w:val="18"/>
                <w:szCs w:val="18"/>
              </w:rPr>
              <w:t>3</w:t>
            </w:r>
          </w:p>
        </w:tc>
        <w:tc>
          <w:tcPr>
            <w:tcW w:w="826" w:type="dxa"/>
            <w:tcBorders>
              <w:top w:val="single" w:sz="4" w:space="0" w:color="auto"/>
              <w:left w:val="single" w:sz="4" w:space="0" w:color="auto"/>
              <w:bottom w:val="single" w:sz="4" w:space="0" w:color="auto"/>
              <w:right w:val="single" w:sz="4" w:space="0" w:color="auto"/>
            </w:tcBorders>
            <w:vAlign w:val="center"/>
          </w:tcPr>
          <w:p w14:paraId="31B47C46" w14:textId="77777777" w:rsidR="008F1728" w:rsidRDefault="008F1728" w:rsidP="00244DEC">
            <w:pPr>
              <w:ind w:firstLineChars="0" w:firstLine="0"/>
              <w:jc w:val="center"/>
              <w:rPr>
                <w:sz w:val="18"/>
                <w:szCs w:val="18"/>
              </w:rPr>
            </w:pPr>
            <w:r>
              <w:rPr>
                <w:rFonts w:eastAsia="方正仿宋_GBK" w:cs="方正仿宋_GB2312" w:hint="eastAsia"/>
                <w:sz w:val="21"/>
              </w:rPr>
              <w:t>主管</w:t>
            </w:r>
          </w:p>
        </w:tc>
        <w:tc>
          <w:tcPr>
            <w:tcW w:w="733" w:type="dxa"/>
            <w:tcBorders>
              <w:top w:val="single" w:sz="4" w:space="0" w:color="auto"/>
              <w:left w:val="single" w:sz="4" w:space="0" w:color="auto"/>
              <w:bottom w:val="single" w:sz="4" w:space="0" w:color="auto"/>
              <w:right w:val="single" w:sz="4" w:space="0" w:color="auto"/>
            </w:tcBorders>
            <w:vAlign w:val="center"/>
          </w:tcPr>
          <w:p w14:paraId="741058B3" w14:textId="77777777" w:rsidR="008F1728" w:rsidRDefault="008F1728" w:rsidP="00244DEC">
            <w:pPr>
              <w:ind w:firstLineChars="0" w:firstLine="0"/>
              <w:jc w:val="center"/>
              <w:rPr>
                <w:sz w:val="18"/>
                <w:szCs w:val="18"/>
              </w:rPr>
            </w:pPr>
            <w:r>
              <w:rPr>
                <w:rFonts w:hint="eastAsia"/>
                <w:sz w:val="18"/>
                <w:szCs w:val="18"/>
              </w:rPr>
              <w:t>/</w:t>
            </w:r>
          </w:p>
        </w:tc>
        <w:tc>
          <w:tcPr>
            <w:tcW w:w="1139" w:type="dxa"/>
            <w:tcBorders>
              <w:top w:val="single" w:sz="4" w:space="0" w:color="auto"/>
              <w:left w:val="single" w:sz="4" w:space="0" w:color="auto"/>
              <w:bottom w:val="single" w:sz="4" w:space="0" w:color="auto"/>
              <w:right w:val="single" w:sz="4" w:space="0" w:color="auto"/>
            </w:tcBorders>
            <w:vAlign w:val="center"/>
          </w:tcPr>
          <w:p w14:paraId="3227D1F9"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3CAF1C8B"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24E6C73B" w14:textId="77777777" w:rsidR="008F1728" w:rsidRDefault="008F1728" w:rsidP="00244DEC">
            <w:pPr>
              <w:spacing w:line="204" w:lineRule="auto"/>
              <w:ind w:firstLineChars="0" w:firstLine="0"/>
              <w:jc w:val="left"/>
              <w:rPr>
                <w:sz w:val="18"/>
                <w:szCs w:val="18"/>
              </w:rPr>
            </w:pPr>
            <w:r>
              <w:rPr>
                <w:rFonts w:eastAsia="方正仿宋_GBK" w:cs="方正仿宋_GB2312" w:hint="eastAsia"/>
                <w:sz w:val="21"/>
              </w:rPr>
              <w:t>负责项目核心算法的研发工作，攻克了大数据云平台端磷酸铁锂电池的一致性评估难题及复杂工况下内阻异常识别的困难，成功构建了覆盖数据清洗、状态估算到故障诊断的全链条高可靠电池故障识别算法体系，</w:t>
            </w:r>
            <w:r>
              <w:rPr>
                <w:rFonts w:eastAsia="方正仿宋_GBK" w:cs="方正仿宋_GB2312"/>
                <w:sz w:val="21"/>
              </w:rPr>
              <w:t>是创新点</w:t>
            </w:r>
            <w:r>
              <w:rPr>
                <w:rFonts w:eastAsia="方正仿宋_GBK" w:cs="方正仿宋_GB2312" w:hint="eastAsia"/>
                <w:sz w:val="21"/>
              </w:rPr>
              <w:t>3</w:t>
            </w:r>
            <w:r>
              <w:rPr>
                <w:rFonts w:eastAsia="方正仿宋_GBK" w:cs="方正仿宋_GB2312"/>
                <w:sz w:val="21"/>
              </w:rPr>
              <w:t>的主要贡献者</w:t>
            </w:r>
            <w:r>
              <w:rPr>
                <w:rFonts w:eastAsia="方正仿宋_GBK" w:cs="方正仿宋_GB2312" w:hint="eastAsia"/>
                <w:sz w:val="21"/>
              </w:rPr>
              <w:t>。</w:t>
            </w:r>
          </w:p>
        </w:tc>
      </w:tr>
      <w:tr w:rsidR="008F1728" w14:paraId="1D219659" w14:textId="77777777" w:rsidTr="00244DEC">
        <w:trPr>
          <w:trHeight w:hRule="exact" w:val="3725"/>
          <w:jc w:val="center"/>
        </w:trPr>
        <w:tc>
          <w:tcPr>
            <w:tcW w:w="776" w:type="dxa"/>
            <w:tcBorders>
              <w:top w:val="single" w:sz="4" w:space="0" w:color="auto"/>
              <w:left w:val="single" w:sz="4" w:space="0" w:color="auto"/>
              <w:bottom w:val="single" w:sz="4" w:space="0" w:color="auto"/>
              <w:right w:val="single" w:sz="4" w:space="0" w:color="auto"/>
            </w:tcBorders>
            <w:vAlign w:val="center"/>
          </w:tcPr>
          <w:p w14:paraId="7A4DFE46" w14:textId="77777777" w:rsidR="008F1728" w:rsidRDefault="008F1728" w:rsidP="00244DEC">
            <w:pPr>
              <w:ind w:firstLineChars="0" w:firstLine="0"/>
              <w:jc w:val="center"/>
              <w:rPr>
                <w:sz w:val="18"/>
                <w:szCs w:val="18"/>
              </w:rPr>
            </w:pPr>
            <w:r>
              <w:rPr>
                <w:rFonts w:eastAsia="方正仿宋_GBK" w:cs="方正仿宋_GB2312"/>
                <w:sz w:val="21"/>
              </w:rPr>
              <w:lastRenderedPageBreak/>
              <w:t>刘威</w:t>
            </w:r>
          </w:p>
        </w:tc>
        <w:tc>
          <w:tcPr>
            <w:tcW w:w="495" w:type="dxa"/>
            <w:tcBorders>
              <w:top w:val="single" w:sz="4" w:space="0" w:color="auto"/>
              <w:left w:val="single" w:sz="4" w:space="0" w:color="auto"/>
              <w:bottom w:val="single" w:sz="4" w:space="0" w:color="auto"/>
              <w:right w:val="single" w:sz="4" w:space="0" w:color="auto"/>
            </w:tcBorders>
            <w:vAlign w:val="center"/>
          </w:tcPr>
          <w:p w14:paraId="1D20CB94" w14:textId="77777777" w:rsidR="008F1728" w:rsidRDefault="008F1728" w:rsidP="00244DEC">
            <w:pPr>
              <w:ind w:firstLineChars="0" w:firstLine="0"/>
              <w:jc w:val="center"/>
              <w:rPr>
                <w:sz w:val="18"/>
                <w:szCs w:val="18"/>
              </w:rPr>
            </w:pPr>
            <w:r>
              <w:rPr>
                <w:rFonts w:hint="eastAsia"/>
                <w:sz w:val="18"/>
                <w:szCs w:val="18"/>
              </w:rPr>
              <w:t>4</w:t>
            </w:r>
          </w:p>
        </w:tc>
        <w:tc>
          <w:tcPr>
            <w:tcW w:w="826" w:type="dxa"/>
            <w:tcBorders>
              <w:top w:val="single" w:sz="4" w:space="0" w:color="auto"/>
              <w:left w:val="single" w:sz="4" w:space="0" w:color="auto"/>
              <w:bottom w:val="single" w:sz="4" w:space="0" w:color="auto"/>
              <w:right w:val="single" w:sz="4" w:space="0" w:color="auto"/>
            </w:tcBorders>
            <w:vAlign w:val="center"/>
          </w:tcPr>
          <w:p w14:paraId="0E2EA1E5"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副主任</w:t>
            </w:r>
          </w:p>
        </w:tc>
        <w:tc>
          <w:tcPr>
            <w:tcW w:w="733" w:type="dxa"/>
            <w:tcBorders>
              <w:top w:val="single" w:sz="4" w:space="0" w:color="auto"/>
              <w:left w:val="single" w:sz="4" w:space="0" w:color="auto"/>
              <w:bottom w:val="single" w:sz="4" w:space="0" w:color="auto"/>
              <w:right w:val="single" w:sz="4" w:space="0" w:color="auto"/>
            </w:tcBorders>
            <w:vAlign w:val="center"/>
          </w:tcPr>
          <w:p w14:paraId="2E05795A"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230D3D26"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4DEFB145"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7F70956E" w14:textId="77777777" w:rsidR="008F1728" w:rsidRDefault="008F1728" w:rsidP="00244DEC">
            <w:pPr>
              <w:spacing w:line="204" w:lineRule="auto"/>
              <w:ind w:firstLineChars="0" w:firstLine="0"/>
              <w:jc w:val="left"/>
              <w:rPr>
                <w:sz w:val="18"/>
                <w:szCs w:val="18"/>
              </w:rPr>
            </w:pPr>
            <w:r>
              <w:rPr>
                <w:rFonts w:eastAsia="方正仿宋_GBK" w:cs="方正仿宋_GB2312" w:hint="eastAsia"/>
                <w:sz w:val="21"/>
              </w:rPr>
              <w:t>在项目中作为电池机理和结构专家，</w:t>
            </w:r>
            <w:r>
              <w:rPr>
                <w:rFonts w:eastAsia="方正仿宋_GBK" w:cs="方正仿宋_GB2312"/>
                <w:sz w:val="21"/>
              </w:rPr>
              <w:t>项目中负责数据、知识、机理联合驱动的多时间尺度故障预警和多框架融合平台构建技术，</w:t>
            </w:r>
            <w:r>
              <w:rPr>
                <w:rFonts w:eastAsia="方正仿宋_GBK" w:cs="方正仿宋_GB2312" w:hint="eastAsia"/>
                <w:sz w:val="21"/>
              </w:rPr>
              <w:t>为项目技术提供了电池结构和机理的基础支持</w:t>
            </w:r>
            <w:r>
              <w:rPr>
                <w:rFonts w:eastAsia="方正仿宋_GBK" w:cs="方正仿宋_GB2312"/>
                <w:sz w:val="21"/>
              </w:rPr>
              <w:t>，为项目算法的精确预警提供了强有力的</w:t>
            </w:r>
            <w:r>
              <w:rPr>
                <w:rFonts w:eastAsia="方正仿宋_GBK" w:cs="方正仿宋_GB2312" w:hint="eastAsia"/>
                <w:sz w:val="21"/>
              </w:rPr>
              <w:t>理论</w:t>
            </w:r>
            <w:r>
              <w:rPr>
                <w:rFonts w:eastAsia="方正仿宋_GBK" w:cs="方正仿宋_GB2312"/>
                <w:sz w:val="21"/>
              </w:rPr>
              <w:t>支持，是创新点</w:t>
            </w:r>
            <w:r>
              <w:rPr>
                <w:rFonts w:eastAsia="方正仿宋_GBK" w:cs="方正仿宋_GB2312" w:hint="eastAsia"/>
                <w:sz w:val="21"/>
              </w:rPr>
              <w:t>2</w:t>
            </w:r>
            <w:r>
              <w:rPr>
                <w:rFonts w:eastAsia="方正仿宋_GBK" w:cs="方正仿宋_GB2312"/>
                <w:sz w:val="21"/>
              </w:rPr>
              <w:t>的主要贡献者。</w:t>
            </w:r>
          </w:p>
        </w:tc>
      </w:tr>
      <w:tr w:rsidR="008F1728" w14:paraId="622DC73E" w14:textId="77777777" w:rsidTr="00244DEC">
        <w:trPr>
          <w:trHeight w:hRule="exact" w:val="1944"/>
          <w:jc w:val="center"/>
        </w:trPr>
        <w:tc>
          <w:tcPr>
            <w:tcW w:w="776" w:type="dxa"/>
            <w:tcBorders>
              <w:top w:val="single" w:sz="4" w:space="0" w:color="auto"/>
              <w:left w:val="single" w:sz="4" w:space="0" w:color="auto"/>
              <w:bottom w:val="single" w:sz="4" w:space="0" w:color="auto"/>
              <w:right w:val="single" w:sz="4" w:space="0" w:color="auto"/>
            </w:tcBorders>
            <w:vAlign w:val="center"/>
          </w:tcPr>
          <w:p w14:paraId="2C9191B3" w14:textId="77777777" w:rsidR="008F1728" w:rsidRDefault="008F1728" w:rsidP="00244DEC">
            <w:pPr>
              <w:ind w:firstLineChars="0" w:firstLine="0"/>
              <w:jc w:val="center"/>
              <w:rPr>
                <w:rFonts w:eastAsia="方正仿宋_GBK" w:cs="方正仿宋_GB2312"/>
                <w:sz w:val="21"/>
              </w:rPr>
            </w:pPr>
            <w:r>
              <w:rPr>
                <w:rFonts w:eastAsia="方正仿宋_GBK" w:cs="方正仿宋_GB2312"/>
                <w:sz w:val="21"/>
              </w:rPr>
              <w:t>张文</w:t>
            </w:r>
          </w:p>
        </w:tc>
        <w:tc>
          <w:tcPr>
            <w:tcW w:w="495" w:type="dxa"/>
            <w:tcBorders>
              <w:top w:val="single" w:sz="4" w:space="0" w:color="auto"/>
              <w:left w:val="single" w:sz="4" w:space="0" w:color="auto"/>
              <w:bottom w:val="single" w:sz="4" w:space="0" w:color="auto"/>
              <w:right w:val="single" w:sz="4" w:space="0" w:color="auto"/>
            </w:tcBorders>
            <w:vAlign w:val="center"/>
          </w:tcPr>
          <w:p w14:paraId="678F50CC"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5</w:t>
            </w:r>
          </w:p>
        </w:tc>
        <w:tc>
          <w:tcPr>
            <w:tcW w:w="826" w:type="dxa"/>
            <w:tcBorders>
              <w:top w:val="single" w:sz="4" w:space="0" w:color="auto"/>
              <w:left w:val="single" w:sz="4" w:space="0" w:color="auto"/>
              <w:bottom w:val="single" w:sz="4" w:space="0" w:color="auto"/>
              <w:right w:val="single" w:sz="4" w:space="0" w:color="auto"/>
            </w:tcBorders>
            <w:vAlign w:val="center"/>
          </w:tcPr>
          <w:p w14:paraId="001B9AF9"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经理</w:t>
            </w:r>
          </w:p>
        </w:tc>
        <w:tc>
          <w:tcPr>
            <w:tcW w:w="733" w:type="dxa"/>
            <w:tcBorders>
              <w:top w:val="single" w:sz="4" w:space="0" w:color="auto"/>
              <w:left w:val="single" w:sz="4" w:space="0" w:color="auto"/>
              <w:bottom w:val="single" w:sz="4" w:space="0" w:color="auto"/>
              <w:right w:val="single" w:sz="4" w:space="0" w:color="auto"/>
            </w:tcBorders>
            <w:vAlign w:val="center"/>
          </w:tcPr>
          <w:p w14:paraId="3E14F569" w14:textId="77777777" w:rsidR="008F1728" w:rsidRDefault="008F1728" w:rsidP="00244DEC">
            <w:pPr>
              <w:ind w:firstLineChars="0" w:firstLine="0"/>
              <w:jc w:val="center"/>
              <w:rPr>
                <w:rFonts w:eastAsia="方正仿宋_GBK" w:cs="方正仿宋_GB2312"/>
                <w:sz w:val="21"/>
              </w:rPr>
            </w:pPr>
            <w:r>
              <w:rPr>
                <w:rFonts w:eastAsia="方正仿宋_GBK" w:cs="方正仿宋_GB2312"/>
                <w:sz w:val="21"/>
              </w:rPr>
              <w:t>高级工程师</w:t>
            </w:r>
          </w:p>
        </w:tc>
        <w:tc>
          <w:tcPr>
            <w:tcW w:w="1139" w:type="dxa"/>
            <w:tcBorders>
              <w:top w:val="single" w:sz="4" w:space="0" w:color="auto"/>
              <w:left w:val="single" w:sz="4" w:space="0" w:color="auto"/>
              <w:bottom w:val="single" w:sz="4" w:space="0" w:color="auto"/>
              <w:right w:val="single" w:sz="4" w:space="0" w:color="auto"/>
            </w:tcBorders>
            <w:vAlign w:val="center"/>
          </w:tcPr>
          <w:p w14:paraId="45178467"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323F41AE"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3FC77705"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sz w:val="21"/>
              </w:rPr>
              <w:t>针对</w:t>
            </w:r>
            <w:r>
              <w:rPr>
                <w:rFonts w:eastAsia="方正仿宋_GBK" w:cs="方正仿宋_GB2312" w:hint="eastAsia"/>
                <w:sz w:val="21"/>
              </w:rPr>
              <w:t>电池大数据云端数据质量治理问题</w:t>
            </w:r>
            <w:r>
              <w:rPr>
                <w:rFonts w:eastAsia="方正仿宋_GBK" w:cs="方正仿宋_GB2312"/>
                <w:sz w:val="21"/>
              </w:rPr>
              <w:t>构建了</w:t>
            </w:r>
            <w:r>
              <w:rPr>
                <w:rFonts w:eastAsia="方正仿宋_GBK" w:cs="方正仿宋_GB2312"/>
                <w:sz w:val="21"/>
              </w:rPr>
              <w:t>“</w:t>
            </w:r>
            <w:r>
              <w:rPr>
                <w:rFonts w:eastAsia="方正仿宋_GBK" w:cs="方正仿宋_GB2312"/>
                <w:sz w:val="21"/>
              </w:rPr>
              <w:t>物理机理约束</w:t>
            </w:r>
            <w:r>
              <w:rPr>
                <w:rFonts w:eastAsia="方正仿宋_GBK" w:cs="方正仿宋_GB2312"/>
                <w:sz w:val="21"/>
              </w:rPr>
              <w:t>+</w:t>
            </w:r>
            <w:r>
              <w:rPr>
                <w:rFonts w:eastAsia="方正仿宋_GBK" w:cs="方正仿宋_GB2312"/>
                <w:sz w:val="21"/>
              </w:rPr>
              <w:t>统计分布检验</w:t>
            </w:r>
            <w:r>
              <w:rPr>
                <w:rFonts w:eastAsia="方正仿宋_GBK" w:cs="方正仿宋_GB2312"/>
                <w:sz w:val="21"/>
              </w:rPr>
              <w:t>+</w:t>
            </w:r>
            <w:r>
              <w:rPr>
                <w:rFonts w:eastAsia="方正仿宋_GBK" w:cs="方正仿宋_GB2312"/>
                <w:sz w:val="21"/>
              </w:rPr>
              <w:t>时序趋势分析</w:t>
            </w:r>
            <w:r>
              <w:rPr>
                <w:rFonts w:eastAsia="方正仿宋_GBK" w:cs="方正仿宋_GB2312"/>
                <w:sz w:val="21"/>
              </w:rPr>
              <w:t>”</w:t>
            </w:r>
            <w:r>
              <w:rPr>
                <w:rFonts w:eastAsia="方正仿宋_GBK" w:cs="方正仿宋_GB2312"/>
                <w:sz w:val="21"/>
              </w:rPr>
              <w:t>的三级智能清洗架构，为内阻检测与</w:t>
            </w:r>
            <w:r>
              <w:rPr>
                <w:rFonts w:eastAsia="方正仿宋_GBK" w:cs="方正仿宋_GB2312"/>
                <w:sz w:val="21"/>
              </w:rPr>
              <w:t>SOC</w:t>
            </w:r>
            <w:r>
              <w:rPr>
                <w:rFonts w:eastAsia="方正仿宋_GBK" w:cs="方正仿宋_GB2312"/>
                <w:sz w:val="21"/>
              </w:rPr>
              <w:t>估算等核心算法提供了高质量数据</w:t>
            </w:r>
            <w:r>
              <w:rPr>
                <w:rFonts w:eastAsia="方正仿宋_GBK" w:cs="方正仿宋_GB2312" w:hint="eastAsia"/>
                <w:sz w:val="21"/>
              </w:rPr>
              <w:t>清洗</w:t>
            </w:r>
            <w:r>
              <w:rPr>
                <w:rFonts w:eastAsia="方正仿宋_GBK" w:cs="方正仿宋_GB2312"/>
                <w:sz w:val="21"/>
              </w:rPr>
              <w:t>基石，是项目实现高预警准确率的关键前提。是创新点</w:t>
            </w:r>
            <w:r>
              <w:rPr>
                <w:rFonts w:eastAsia="方正仿宋_GBK" w:cs="方正仿宋_GB2312" w:hint="eastAsia"/>
                <w:sz w:val="21"/>
              </w:rPr>
              <w:t>1</w:t>
            </w:r>
            <w:r>
              <w:rPr>
                <w:rFonts w:eastAsia="方正仿宋_GBK" w:cs="方正仿宋_GB2312" w:hint="eastAsia"/>
                <w:sz w:val="21"/>
              </w:rPr>
              <w:t>、</w:t>
            </w:r>
            <w:r>
              <w:rPr>
                <w:rFonts w:eastAsia="方正仿宋_GBK" w:cs="方正仿宋_GB2312" w:hint="eastAsia"/>
                <w:sz w:val="21"/>
              </w:rPr>
              <w:t>2</w:t>
            </w:r>
            <w:r>
              <w:rPr>
                <w:rFonts w:eastAsia="方正仿宋_GBK" w:cs="方正仿宋_GB2312"/>
                <w:sz w:val="21"/>
              </w:rPr>
              <w:t>的主要贡献者。</w:t>
            </w:r>
          </w:p>
        </w:tc>
      </w:tr>
      <w:tr w:rsidR="008F1728" w14:paraId="15C45403" w14:textId="77777777" w:rsidTr="00244DEC">
        <w:trPr>
          <w:trHeight w:hRule="exact" w:val="4980"/>
          <w:jc w:val="center"/>
        </w:trPr>
        <w:tc>
          <w:tcPr>
            <w:tcW w:w="776" w:type="dxa"/>
            <w:tcBorders>
              <w:top w:val="single" w:sz="4" w:space="0" w:color="auto"/>
              <w:left w:val="single" w:sz="4" w:space="0" w:color="auto"/>
              <w:bottom w:val="single" w:sz="4" w:space="0" w:color="auto"/>
              <w:right w:val="single" w:sz="4" w:space="0" w:color="auto"/>
            </w:tcBorders>
            <w:vAlign w:val="center"/>
          </w:tcPr>
          <w:p w14:paraId="114179DB"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伍慧</w:t>
            </w:r>
          </w:p>
        </w:tc>
        <w:tc>
          <w:tcPr>
            <w:tcW w:w="495" w:type="dxa"/>
            <w:tcBorders>
              <w:top w:val="single" w:sz="4" w:space="0" w:color="auto"/>
              <w:left w:val="single" w:sz="4" w:space="0" w:color="auto"/>
              <w:bottom w:val="single" w:sz="4" w:space="0" w:color="auto"/>
              <w:right w:val="single" w:sz="4" w:space="0" w:color="auto"/>
            </w:tcBorders>
            <w:vAlign w:val="center"/>
          </w:tcPr>
          <w:p w14:paraId="17EC825B"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6</w:t>
            </w:r>
          </w:p>
        </w:tc>
        <w:tc>
          <w:tcPr>
            <w:tcW w:w="826" w:type="dxa"/>
            <w:tcBorders>
              <w:top w:val="single" w:sz="4" w:space="0" w:color="auto"/>
              <w:left w:val="single" w:sz="4" w:space="0" w:color="auto"/>
              <w:bottom w:val="single" w:sz="4" w:space="0" w:color="auto"/>
              <w:right w:val="single" w:sz="4" w:space="0" w:color="auto"/>
            </w:tcBorders>
            <w:vAlign w:val="center"/>
          </w:tcPr>
          <w:p w14:paraId="67518E96" w14:textId="77777777" w:rsidR="008F1728" w:rsidRDefault="008F1728" w:rsidP="00244DEC">
            <w:pPr>
              <w:ind w:firstLineChars="0" w:firstLine="0"/>
              <w:jc w:val="center"/>
              <w:rPr>
                <w:rFonts w:eastAsia="方正仿宋_GBK" w:cs="方正仿宋_GB2312"/>
                <w:sz w:val="21"/>
              </w:rPr>
            </w:pPr>
            <w:r>
              <w:rPr>
                <w:rFonts w:eastAsia="方正仿宋_GBK" w:cs="方正仿宋_GB2312"/>
                <w:sz w:val="21"/>
              </w:rPr>
              <w:t>算法资深研发工程师</w:t>
            </w:r>
          </w:p>
        </w:tc>
        <w:tc>
          <w:tcPr>
            <w:tcW w:w="733" w:type="dxa"/>
            <w:tcBorders>
              <w:top w:val="single" w:sz="4" w:space="0" w:color="auto"/>
              <w:left w:val="single" w:sz="4" w:space="0" w:color="auto"/>
              <w:bottom w:val="single" w:sz="4" w:space="0" w:color="auto"/>
              <w:right w:val="single" w:sz="4" w:space="0" w:color="auto"/>
            </w:tcBorders>
            <w:vAlign w:val="center"/>
          </w:tcPr>
          <w:p w14:paraId="3ED7ECCE"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7CA46C48"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4ADAF101"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4C5C8E1A"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hint="eastAsia"/>
                <w:sz w:val="21"/>
              </w:rPr>
              <w:t>实现车厂电池报警系统全生命周期落地，搭建标准化电芯数据采集核验体系，创新融合电池电化学特性与多维度工况数据设计动态阈值算法，实现秒级报警响应及与业务数据库实时同步；依托大数据能力构建自动化数据分析甄别流程，区分真实故障与误报，通过误报溯源持续迭代算法与参数是创新点</w:t>
            </w:r>
            <w:r>
              <w:rPr>
                <w:rFonts w:eastAsia="方正仿宋_GBK" w:cs="方正仿宋_GB2312" w:hint="eastAsia"/>
                <w:sz w:val="21"/>
              </w:rPr>
              <w:t>2</w:t>
            </w:r>
            <w:r>
              <w:rPr>
                <w:rFonts w:eastAsia="方正仿宋_GBK" w:cs="方正仿宋_GB2312" w:hint="eastAsia"/>
                <w:sz w:val="21"/>
              </w:rPr>
              <w:t>的主要贡献者。</w:t>
            </w:r>
          </w:p>
        </w:tc>
      </w:tr>
      <w:tr w:rsidR="008F1728" w14:paraId="25AFBCC6" w14:textId="77777777" w:rsidTr="00244DEC">
        <w:trPr>
          <w:trHeight w:hRule="exact" w:val="4505"/>
          <w:jc w:val="center"/>
        </w:trPr>
        <w:tc>
          <w:tcPr>
            <w:tcW w:w="776" w:type="dxa"/>
            <w:tcBorders>
              <w:top w:val="single" w:sz="4" w:space="0" w:color="auto"/>
              <w:left w:val="single" w:sz="4" w:space="0" w:color="auto"/>
              <w:bottom w:val="single" w:sz="4" w:space="0" w:color="auto"/>
              <w:right w:val="single" w:sz="4" w:space="0" w:color="auto"/>
            </w:tcBorders>
            <w:vAlign w:val="center"/>
          </w:tcPr>
          <w:p w14:paraId="27D7C564"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lastRenderedPageBreak/>
              <w:t>周正阳</w:t>
            </w:r>
          </w:p>
        </w:tc>
        <w:tc>
          <w:tcPr>
            <w:tcW w:w="495" w:type="dxa"/>
            <w:tcBorders>
              <w:top w:val="single" w:sz="4" w:space="0" w:color="auto"/>
              <w:left w:val="single" w:sz="4" w:space="0" w:color="auto"/>
              <w:bottom w:val="single" w:sz="4" w:space="0" w:color="auto"/>
              <w:right w:val="single" w:sz="4" w:space="0" w:color="auto"/>
            </w:tcBorders>
            <w:vAlign w:val="center"/>
          </w:tcPr>
          <w:p w14:paraId="1BBC600D"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7</w:t>
            </w:r>
          </w:p>
        </w:tc>
        <w:tc>
          <w:tcPr>
            <w:tcW w:w="826" w:type="dxa"/>
            <w:tcBorders>
              <w:top w:val="single" w:sz="4" w:space="0" w:color="auto"/>
              <w:left w:val="single" w:sz="4" w:space="0" w:color="auto"/>
              <w:bottom w:val="single" w:sz="4" w:space="0" w:color="auto"/>
              <w:right w:val="single" w:sz="4" w:space="0" w:color="auto"/>
            </w:tcBorders>
            <w:vAlign w:val="center"/>
          </w:tcPr>
          <w:p w14:paraId="24BD9A95"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733" w:type="dxa"/>
            <w:tcBorders>
              <w:top w:val="single" w:sz="4" w:space="0" w:color="auto"/>
              <w:left w:val="single" w:sz="4" w:space="0" w:color="auto"/>
              <w:bottom w:val="single" w:sz="4" w:space="0" w:color="auto"/>
              <w:right w:val="single" w:sz="4" w:space="0" w:color="auto"/>
            </w:tcBorders>
            <w:vAlign w:val="center"/>
          </w:tcPr>
          <w:p w14:paraId="18E00106"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副研究员</w:t>
            </w:r>
          </w:p>
        </w:tc>
        <w:tc>
          <w:tcPr>
            <w:tcW w:w="1139" w:type="dxa"/>
            <w:tcBorders>
              <w:top w:val="single" w:sz="4" w:space="0" w:color="auto"/>
              <w:left w:val="single" w:sz="4" w:space="0" w:color="auto"/>
              <w:bottom w:val="single" w:sz="4" w:space="0" w:color="auto"/>
              <w:right w:val="single" w:sz="4" w:space="0" w:color="auto"/>
            </w:tcBorders>
            <w:vAlign w:val="center"/>
          </w:tcPr>
          <w:p w14:paraId="6494142D"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中国科学技术大学</w:t>
            </w:r>
          </w:p>
        </w:tc>
        <w:tc>
          <w:tcPr>
            <w:tcW w:w="1403" w:type="dxa"/>
            <w:tcBorders>
              <w:top w:val="single" w:sz="4" w:space="0" w:color="auto"/>
              <w:left w:val="single" w:sz="4" w:space="0" w:color="auto"/>
              <w:bottom w:val="single" w:sz="4" w:space="0" w:color="auto"/>
              <w:right w:val="single" w:sz="4" w:space="0" w:color="auto"/>
            </w:tcBorders>
            <w:vAlign w:val="center"/>
          </w:tcPr>
          <w:p w14:paraId="1FD6E9C0"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中国科学技术大学</w:t>
            </w:r>
          </w:p>
        </w:tc>
        <w:tc>
          <w:tcPr>
            <w:tcW w:w="4121" w:type="dxa"/>
            <w:tcBorders>
              <w:top w:val="single" w:sz="4" w:space="0" w:color="auto"/>
              <w:left w:val="single" w:sz="4" w:space="0" w:color="auto"/>
              <w:bottom w:val="single" w:sz="4" w:space="0" w:color="auto"/>
              <w:right w:val="single" w:sz="4" w:space="0" w:color="auto"/>
            </w:tcBorders>
            <w:vAlign w:val="center"/>
          </w:tcPr>
          <w:p w14:paraId="12D237B4"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sz w:val="21"/>
              </w:rPr>
              <w:t>主要参与了跨空间车辆电池异常识别技术的相关数据整理、工况样本采集与模型验证测试工作，协助完成多区域、多工况下的数据适配与算法效果校验，配合开展模型工程化部署中的参数调试与效果优化，为该创新点的落地验证与实际场景适配提供了重要的辅助支撑。</w:t>
            </w:r>
          </w:p>
        </w:tc>
      </w:tr>
      <w:tr w:rsidR="008F1728" w14:paraId="229318A3" w14:textId="77777777" w:rsidTr="00244DEC">
        <w:trPr>
          <w:trHeight w:hRule="exact" w:val="4709"/>
          <w:jc w:val="center"/>
        </w:trPr>
        <w:tc>
          <w:tcPr>
            <w:tcW w:w="776" w:type="dxa"/>
            <w:tcBorders>
              <w:top w:val="single" w:sz="4" w:space="0" w:color="auto"/>
              <w:left w:val="single" w:sz="4" w:space="0" w:color="auto"/>
              <w:bottom w:val="single" w:sz="4" w:space="0" w:color="auto"/>
              <w:right w:val="single" w:sz="4" w:space="0" w:color="auto"/>
            </w:tcBorders>
            <w:vAlign w:val="center"/>
          </w:tcPr>
          <w:p w14:paraId="61E9BD3D"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汪杰</w:t>
            </w:r>
          </w:p>
        </w:tc>
        <w:tc>
          <w:tcPr>
            <w:tcW w:w="495" w:type="dxa"/>
            <w:tcBorders>
              <w:top w:val="single" w:sz="4" w:space="0" w:color="auto"/>
              <w:left w:val="single" w:sz="4" w:space="0" w:color="auto"/>
              <w:bottom w:val="single" w:sz="4" w:space="0" w:color="auto"/>
              <w:right w:val="single" w:sz="4" w:space="0" w:color="auto"/>
            </w:tcBorders>
            <w:vAlign w:val="center"/>
          </w:tcPr>
          <w:p w14:paraId="5F0DA7AC"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8</w:t>
            </w:r>
          </w:p>
        </w:tc>
        <w:tc>
          <w:tcPr>
            <w:tcW w:w="826" w:type="dxa"/>
            <w:tcBorders>
              <w:top w:val="single" w:sz="4" w:space="0" w:color="auto"/>
              <w:left w:val="single" w:sz="4" w:space="0" w:color="auto"/>
              <w:bottom w:val="single" w:sz="4" w:space="0" w:color="auto"/>
              <w:right w:val="single" w:sz="4" w:space="0" w:color="auto"/>
            </w:tcBorders>
            <w:vAlign w:val="center"/>
          </w:tcPr>
          <w:p w14:paraId="29E65B82"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资深研发工程师</w:t>
            </w:r>
          </w:p>
        </w:tc>
        <w:tc>
          <w:tcPr>
            <w:tcW w:w="733" w:type="dxa"/>
            <w:tcBorders>
              <w:top w:val="single" w:sz="4" w:space="0" w:color="auto"/>
              <w:left w:val="single" w:sz="4" w:space="0" w:color="auto"/>
              <w:bottom w:val="single" w:sz="4" w:space="0" w:color="auto"/>
              <w:right w:val="single" w:sz="4" w:space="0" w:color="auto"/>
            </w:tcBorders>
            <w:vAlign w:val="center"/>
          </w:tcPr>
          <w:p w14:paraId="055164E5"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1E98506D"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54523805"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713BEA29"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sz w:val="21"/>
              </w:rPr>
              <w:t>在项目中主要负责高并发数据传输架构设计与工程化落地</w:t>
            </w:r>
            <w:r>
              <w:rPr>
                <w:rFonts w:eastAsia="方正仿宋_GBK" w:cs="方正仿宋_GB2312" w:hint="eastAsia"/>
                <w:sz w:val="21"/>
              </w:rPr>
              <w:t>，包括</w:t>
            </w:r>
            <w:r>
              <w:rPr>
                <w:rFonts w:eastAsia="方正仿宋_GBK" w:cs="方正仿宋_GB2312"/>
                <w:sz w:val="21"/>
              </w:rPr>
              <w:t>设计了</w:t>
            </w:r>
            <w:r>
              <w:rPr>
                <w:rFonts w:eastAsia="方正仿宋_GBK" w:cs="方正仿宋_GB2312" w:hint="eastAsia"/>
                <w:sz w:val="21"/>
              </w:rPr>
              <w:t>适用于项目</w:t>
            </w:r>
            <w:r>
              <w:rPr>
                <w:rFonts w:eastAsia="方正仿宋_GBK" w:cs="方正仿宋_GB2312"/>
                <w:sz w:val="21"/>
              </w:rPr>
              <w:t>的电池数据传输系统，实现了数据从采集端到云端传输的稳定</w:t>
            </w:r>
            <w:r>
              <w:rPr>
                <w:rFonts w:eastAsia="方正仿宋_GBK" w:cs="方正仿宋_GB2312" w:hint="eastAsia"/>
                <w:sz w:val="21"/>
              </w:rPr>
              <w:t>性和</w:t>
            </w:r>
            <w:r>
              <w:rPr>
                <w:rFonts w:eastAsia="方正仿宋_GBK" w:cs="方正仿宋_GB2312"/>
                <w:sz w:val="21"/>
              </w:rPr>
              <w:t>实时</w:t>
            </w:r>
            <w:r>
              <w:rPr>
                <w:rFonts w:eastAsia="方正仿宋_GBK" w:cs="方正仿宋_GB2312" w:hint="eastAsia"/>
                <w:sz w:val="21"/>
              </w:rPr>
              <w:t>性</w:t>
            </w:r>
            <w:r>
              <w:rPr>
                <w:rFonts w:eastAsia="方正仿宋_GBK" w:cs="方正仿宋_GB2312"/>
                <w:sz w:val="21"/>
              </w:rPr>
              <w:t>，为</w:t>
            </w:r>
            <w:r>
              <w:rPr>
                <w:rFonts w:eastAsia="方正仿宋_GBK" w:cs="方正仿宋_GB2312" w:hint="eastAsia"/>
                <w:sz w:val="21"/>
              </w:rPr>
              <w:t>下游</w:t>
            </w:r>
            <w:r>
              <w:rPr>
                <w:rFonts w:eastAsia="方正仿宋_GBK" w:cs="方正仿宋_GB2312"/>
                <w:sz w:val="21"/>
              </w:rPr>
              <w:t>“</w:t>
            </w:r>
            <w:r>
              <w:rPr>
                <w:rFonts w:eastAsia="方正仿宋_GBK" w:cs="方正仿宋_GB2312"/>
                <w:sz w:val="21"/>
              </w:rPr>
              <w:t>数据清洗</w:t>
            </w:r>
            <w:r>
              <w:rPr>
                <w:rFonts w:eastAsia="方正仿宋_GBK" w:cs="方正仿宋_GB2312"/>
                <w:sz w:val="21"/>
              </w:rPr>
              <w:t>”</w:t>
            </w:r>
            <w:r>
              <w:rPr>
                <w:rFonts w:eastAsia="方正仿宋_GBK" w:cs="方正仿宋_GB2312"/>
                <w:sz w:val="21"/>
              </w:rPr>
              <w:t>、</w:t>
            </w:r>
            <w:r>
              <w:rPr>
                <w:rFonts w:eastAsia="方正仿宋_GBK" w:cs="方正仿宋_GB2312"/>
                <w:sz w:val="21"/>
              </w:rPr>
              <w:t>“</w:t>
            </w:r>
            <w:r>
              <w:rPr>
                <w:rFonts w:eastAsia="方正仿宋_GBK" w:cs="方正仿宋_GB2312"/>
                <w:sz w:val="21"/>
              </w:rPr>
              <w:t>内阻计算</w:t>
            </w:r>
            <w:r>
              <w:rPr>
                <w:rFonts w:eastAsia="方正仿宋_GBK" w:cs="方正仿宋_GB2312"/>
                <w:sz w:val="21"/>
              </w:rPr>
              <w:t>”</w:t>
            </w:r>
            <w:r>
              <w:rPr>
                <w:rFonts w:eastAsia="方正仿宋_GBK" w:cs="方正仿宋_GB2312"/>
                <w:sz w:val="21"/>
              </w:rPr>
              <w:t>及</w:t>
            </w:r>
            <w:r>
              <w:rPr>
                <w:rFonts w:eastAsia="方正仿宋_GBK" w:cs="方正仿宋_GB2312"/>
                <w:sz w:val="21"/>
              </w:rPr>
              <w:t>“</w:t>
            </w:r>
            <w:r>
              <w:rPr>
                <w:rFonts w:eastAsia="方正仿宋_GBK" w:cs="方正仿宋_GB2312"/>
                <w:sz w:val="21"/>
              </w:rPr>
              <w:t>故障诊断</w:t>
            </w:r>
            <w:r>
              <w:rPr>
                <w:rFonts w:eastAsia="方正仿宋_GBK" w:cs="方正仿宋_GB2312"/>
                <w:sz w:val="21"/>
              </w:rPr>
              <w:t>”</w:t>
            </w:r>
            <w:r>
              <w:rPr>
                <w:rFonts w:eastAsia="方正仿宋_GBK" w:cs="方正仿宋_GB2312"/>
                <w:sz w:val="21"/>
              </w:rPr>
              <w:t>等核心算法提供了连续、完整的高质量数据输入，是创新点</w:t>
            </w:r>
            <w:r>
              <w:rPr>
                <w:rFonts w:eastAsia="方正仿宋_GBK" w:cs="方正仿宋_GB2312" w:hint="eastAsia"/>
                <w:sz w:val="21"/>
              </w:rPr>
              <w:t>1</w:t>
            </w:r>
            <w:r>
              <w:rPr>
                <w:rFonts w:eastAsia="方正仿宋_GBK" w:cs="方正仿宋_GB2312"/>
                <w:sz w:val="21"/>
              </w:rPr>
              <w:t>得以实施的基础前提</w:t>
            </w:r>
            <w:r>
              <w:rPr>
                <w:rFonts w:eastAsia="方正仿宋_GBK" w:cs="方正仿宋_GB2312" w:hint="eastAsia"/>
                <w:sz w:val="21"/>
              </w:rPr>
              <w:t>。</w:t>
            </w:r>
          </w:p>
        </w:tc>
      </w:tr>
      <w:tr w:rsidR="008F1728" w14:paraId="24FC14DD" w14:textId="77777777" w:rsidTr="00244DEC">
        <w:trPr>
          <w:trHeight w:hRule="exact" w:val="5338"/>
          <w:jc w:val="center"/>
        </w:trPr>
        <w:tc>
          <w:tcPr>
            <w:tcW w:w="776" w:type="dxa"/>
            <w:tcBorders>
              <w:top w:val="single" w:sz="4" w:space="0" w:color="auto"/>
              <w:left w:val="single" w:sz="4" w:space="0" w:color="auto"/>
              <w:bottom w:val="single" w:sz="4" w:space="0" w:color="auto"/>
              <w:right w:val="single" w:sz="4" w:space="0" w:color="auto"/>
            </w:tcBorders>
            <w:vAlign w:val="center"/>
          </w:tcPr>
          <w:p w14:paraId="0024F4DE"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lastRenderedPageBreak/>
              <w:t>郑中华</w:t>
            </w:r>
          </w:p>
        </w:tc>
        <w:tc>
          <w:tcPr>
            <w:tcW w:w="495" w:type="dxa"/>
            <w:tcBorders>
              <w:top w:val="single" w:sz="4" w:space="0" w:color="auto"/>
              <w:left w:val="single" w:sz="4" w:space="0" w:color="auto"/>
              <w:bottom w:val="single" w:sz="4" w:space="0" w:color="auto"/>
              <w:right w:val="single" w:sz="4" w:space="0" w:color="auto"/>
            </w:tcBorders>
            <w:vAlign w:val="center"/>
          </w:tcPr>
          <w:p w14:paraId="24D29F59"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9</w:t>
            </w:r>
          </w:p>
        </w:tc>
        <w:tc>
          <w:tcPr>
            <w:tcW w:w="826" w:type="dxa"/>
            <w:tcBorders>
              <w:top w:val="single" w:sz="4" w:space="0" w:color="auto"/>
              <w:left w:val="single" w:sz="4" w:space="0" w:color="auto"/>
              <w:bottom w:val="single" w:sz="4" w:space="0" w:color="auto"/>
              <w:right w:val="single" w:sz="4" w:space="0" w:color="auto"/>
            </w:tcBorders>
            <w:vAlign w:val="center"/>
          </w:tcPr>
          <w:p w14:paraId="3F37E3BD"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经理</w:t>
            </w:r>
          </w:p>
        </w:tc>
        <w:tc>
          <w:tcPr>
            <w:tcW w:w="733" w:type="dxa"/>
            <w:tcBorders>
              <w:top w:val="single" w:sz="4" w:space="0" w:color="auto"/>
              <w:left w:val="single" w:sz="4" w:space="0" w:color="auto"/>
              <w:bottom w:val="single" w:sz="4" w:space="0" w:color="auto"/>
              <w:right w:val="single" w:sz="4" w:space="0" w:color="auto"/>
            </w:tcBorders>
            <w:vAlign w:val="center"/>
          </w:tcPr>
          <w:p w14:paraId="5E2899AF"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569CA81D"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52EA3CB2"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7F276289"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hint="eastAsia"/>
                <w:sz w:val="21"/>
              </w:rPr>
              <w:t>参与项目电池大数据传输架构设计与工程化落地，通过优化高并发数据传输链路、保障数据稳定上传与实时交互，为数据清洗、内阻精准计算、</w:t>
            </w:r>
            <w:r>
              <w:rPr>
                <w:rFonts w:eastAsia="方正仿宋_GBK" w:cs="方正仿宋_GB2312" w:hint="eastAsia"/>
                <w:sz w:val="21"/>
              </w:rPr>
              <w:t xml:space="preserve">SOC </w:t>
            </w:r>
            <w:r>
              <w:rPr>
                <w:rFonts w:eastAsia="方正仿宋_GBK" w:cs="方正仿宋_GB2312" w:hint="eastAsia"/>
                <w:sz w:val="21"/>
              </w:rPr>
              <w:t>一致性评估及跨空间异常识别等核心技术提供了可靠的数据传输支撑，有效解决了海量电池数据传输丢包、延迟等问题，助力各算法模块稳定运行与工程化落地实施。</w:t>
            </w:r>
          </w:p>
        </w:tc>
      </w:tr>
      <w:tr w:rsidR="008F1728" w14:paraId="53C1095C" w14:textId="77777777" w:rsidTr="00244DEC">
        <w:trPr>
          <w:trHeight w:hRule="exact" w:val="3163"/>
          <w:jc w:val="center"/>
        </w:trPr>
        <w:tc>
          <w:tcPr>
            <w:tcW w:w="776" w:type="dxa"/>
            <w:tcBorders>
              <w:top w:val="single" w:sz="4" w:space="0" w:color="auto"/>
              <w:left w:val="single" w:sz="4" w:space="0" w:color="auto"/>
              <w:bottom w:val="single" w:sz="4" w:space="0" w:color="auto"/>
              <w:right w:val="single" w:sz="4" w:space="0" w:color="auto"/>
            </w:tcBorders>
            <w:vAlign w:val="center"/>
          </w:tcPr>
          <w:p w14:paraId="75B915C2"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茅小海</w:t>
            </w:r>
          </w:p>
        </w:tc>
        <w:tc>
          <w:tcPr>
            <w:tcW w:w="495" w:type="dxa"/>
            <w:tcBorders>
              <w:top w:val="single" w:sz="4" w:space="0" w:color="auto"/>
              <w:left w:val="single" w:sz="4" w:space="0" w:color="auto"/>
              <w:bottom w:val="single" w:sz="4" w:space="0" w:color="auto"/>
              <w:right w:val="single" w:sz="4" w:space="0" w:color="auto"/>
            </w:tcBorders>
            <w:vAlign w:val="center"/>
          </w:tcPr>
          <w:p w14:paraId="5884AB83"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10</w:t>
            </w:r>
          </w:p>
        </w:tc>
        <w:tc>
          <w:tcPr>
            <w:tcW w:w="826" w:type="dxa"/>
            <w:tcBorders>
              <w:top w:val="single" w:sz="4" w:space="0" w:color="auto"/>
              <w:left w:val="single" w:sz="4" w:space="0" w:color="auto"/>
              <w:bottom w:val="single" w:sz="4" w:space="0" w:color="auto"/>
              <w:right w:val="single" w:sz="4" w:space="0" w:color="auto"/>
            </w:tcBorders>
            <w:vAlign w:val="center"/>
          </w:tcPr>
          <w:p w14:paraId="74B49A20" w14:textId="77777777" w:rsidR="008F1728" w:rsidRDefault="008F1728" w:rsidP="00244DEC">
            <w:pPr>
              <w:ind w:firstLineChars="0" w:firstLine="0"/>
              <w:jc w:val="center"/>
              <w:rPr>
                <w:rFonts w:eastAsia="方正仿宋_GBK" w:cs="方正仿宋_GB2312"/>
                <w:sz w:val="21"/>
              </w:rPr>
            </w:pPr>
            <w:r>
              <w:rPr>
                <w:rFonts w:eastAsia="方正仿宋_GBK" w:cs="方正仿宋_GB2312"/>
                <w:sz w:val="21"/>
              </w:rPr>
              <w:t>研发工程师</w:t>
            </w:r>
          </w:p>
        </w:tc>
        <w:tc>
          <w:tcPr>
            <w:tcW w:w="733" w:type="dxa"/>
            <w:tcBorders>
              <w:top w:val="single" w:sz="4" w:space="0" w:color="auto"/>
              <w:left w:val="single" w:sz="4" w:space="0" w:color="auto"/>
              <w:bottom w:val="single" w:sz="4" w:space="0" w:color="auto"/>
              <w:right w:val="single" w:sz="4" w:space="0" w:color="auto"/>
            </w:tcBorders>
            <w:vAlign w:val="center"/>
          </w:tcPr>
          <w:p w14:paraId="4F89C026"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729D5BD3"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19D8AEAE"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28B21AF6"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sz w:val="21"/>
              </w:rPr>
              <w:t>主要参与锂电池数据采集异常智能甄别与清洗技术的算法辅助实现、实测数据验证及工程化适配工作，协助完成三级数据清洗架构的参数调试、异常数据样本标注与效果校验，保障了数据清洗技术在高并发场景下稳定落地，为内阻估算、</w:t>
            </w:r>
            <w:r>
              <w:rPr>
                <w:rFonts w:eastAsia="方正仿宋_GBK" w:cs="方正仿宋_GB2312"/>
                <w:sz w:val="21"/>
              </w:rPr>
              <w:t xml:space="preserve">SOC </w:t>
            </w:r>
            <w:r>
              <w:rPr>
                <w:rFonts w:eastAsia="方正仿宋_GBK" w:cs="方正仿宋_GB2312"/>
                <w:sz w:val="21"/>
              </w:rPr>
              <w:t>一致性评估、跨空间异常识别等核心算法提供了高质量、高可靠的数据源支撑，有效降低无效预警与误判，提升了整个电池安全监控体系的鲁棒性与准确性。</w:t>
            </w:r>
            <w:r>
              <w:rPr>
                <w:rFonts w:eastAsia="方正仿宋_GBK" w:cs="方正仿宋_GB2312" w:hint="eastAsia"/>
                <w:sz w:val="21"/>
              </w:rPr>
              <w:t>是创新点</w:t>
            </w:r>
            <w:r>
              <w:rPr>
                <w:rFonts w:eastAsia="方正仿宋_GBK" w:cs="方正仿宋_GB2312" w:hint="eastAsia"/>
                <w:sz w:val="21"/>
              </w:rPr>
              <w:t>1</w:t>
            </w:r>
            <w:r>
              <w:rPr>
                <w:rFonts w:eastAsia="方正仿宋_GBK" w:cs="方正仿宋_GB2312" w:hint="eastAsia"/>
                <w:sz w:val="21"/>
              </w:rPr>
              <w:t>的主要参与者。</w:t>
            </w:r>
          </w:p>
        </w:tc>
      </w:tr>
      <w:tr w:rsidR="008F1728" w14:paraId="4FC45092" w14:textId="77777777" w:rsidTr="00244DEC">
        <w:trPr>
          <w:trHeight w:hRule="exact" w:val="3696"/>
          <w:jc w:val="center"/>
        </w:trPr>
        <w:tc>
          <w:tcPr>
            <w:tcW w:w="776" w:type="dxa"/>
            <w:tcBorders>
              <w:top w:val="single" w:sz="4" w:space="0" w:color="auto"/>
              <w:left w:val="single" w:sz="4" w:space="0" w:color="auto"/>
              <w:bottom w:val="single" w:sz="4" w:space="0" w:color="auto"/>
              <w:right w:val="single" w:sz="4" w:space="0" w:color="auto"/>
            </w:tcBorders>
            <w:vAlign w:val="center"/>
          </w:tcPr>
          <w:p w14:paraId="2F90FEE4"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高飞</w:t>
            </w:r>
          </w:p>
        </w:tc>
        <w:tc>
          <w:tcPr>
            <w:tcW w:w="495" w:type="dxa"/>
            <w:tcBorders>
              <w:top w:val="single" w:sz="4" w:space="0" w:color="auto"/>
              <w:left w:val="single" w:sz="4" w:space="0" w:color="auto"/>
              <w:bottom w:val="single" w:sz="4" w:space="0" w:color="auto"/>
              <w:right w:val="single" w:sz="4" w:space="0" w:color="auto"/>
            </w:tcBorders>
            <w:vAlign w:val="center"/>
          </w:tcPr>
          <w:p w14:paraId="688F3CF4"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11</w:t>
            </w:r>
          </w:p>
        </w:tc>
        <w:tc>
          <w:tcPr>
            <w:tcW w:w="826" w:type="dxa"/>
            <w:tcBorders>
              <w:top w:val="single" w:sz="4" w:space="0" w:color="auto"/>
              <w:left w:val="single" w:sz="4" w:space="0" w:color="auto"/>
              <w:bottom w:val="single" w:sz="4" w:space="0" w:color="auto"/>
              <w:right w:val="single" w:sz="4" w:space="0" w:color="auto"/>
            </w:tcBorders>
            <w:vAlign w:val="center"/>
          </w:tcPr>
          <w:p w14:paraId="5A224B75" w14:textId="77777777" w:rsidR="008F1728" w:rsidRDefault="008F1728" w:rsidP="00244DEC">
            <w:pPr>
              <w:ind w:firstLineChars="0" w:firstLine="0"/>
              <w:jc w:val="center"/>
              <w:rPr>
                <w:rFonts w:eastAsia="方正仿宋_GBK" w:cs="方正仿宋_GB2312"/>
                <w:sz w:val="21"/>
              </w:rPr>
            </w:pPr>
            <w:r>
              <w:rPr>
                <w:rFonts w:eastAsia="方正仿宋_GBK" w:cs="方正仿宋_GB2312"/>
                <w:sz w:val="21"/>
              </w:rPr>
              <w:t>资深研发工程师</w:t>
            </w:r>
          </w:p>
        </w:tc>
        <w:tc>
          <w:tcPr>
            <w:tcW w:w="733" w:type="dxa"/>
            <w:tcBorders>
              <w:top w:val="single" w:sz="4" w:space="0" w:color="auto"/>
              <w:left w:val="single" w:sz="4" w:space="0" w:color="auto"/>
              <w:bottom w:val="single" w:sz="4" w:space="0" w:color="auto"/>
              <w:right w:val="single" w:sz="4" w:space="0" w:color="auto"/>
            </w:tcBorders>
            <w:vAlign w:val="center"/>
          </w:tcPr>
          <w:p w14:paraId="70B5BA24"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06B2F3D6"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1A411CDB"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4EFCB54E"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sz w:val="21"/>
              </w:rPr>
              <w:t>协助开展数据清洗相关的异常样本梳理、策略适配及测试验证工作，标注异常数据特征、排查清洗漏洞，为三级数据清洗架构优化提供样本支撑，保障数据质量，助力下游核心算法及整个电池安全监控体系稳定运行。</w:t>
            </w:r>
            <w:r>
              <w:rPr>
                <w:rFonts w:eastAsia="方正仿宋_GBK" w:cs="方正仿宋_GB2312" w:hint="eastAsia"/>
                <w:sz w:val="21"/>
              </w:rPr>
              <w:t>是创新点</w:t>
            </w:r>
            <w:r>
              <w:rPr>
                <w:rFonts w:eastAsia="方正仿宋_GBK" w:cs="方正仿宋_GB2312" w:hint="eastAsia"/>
                <w:sz w:val="21"/>
              </w:rPr>
              <w:t>1</w:t>
            </w:r>
            <w:r>
              <w:rPr>
                <w:rFonts w:eastAsia="方正仿宋_GBK" w:cs="方正仿宋_GB2312" w:hint="eastAsia"/>
                <w:sz w:val="21"/>
              </w:rPr>
              <w:t>的主要参与者。</w:t>
            </w:r>
          </w:p>
        </w:tc>
      </w:tr>
      <w:tr w:rsidR="008F1728" w14:paraId="27B1A52C" w14:textId="77777777" w:rsidTr="00244DEC">
        <w:trPr>
          <w:trHeight w:hRule="exact" w:val="2568"/>
          <w:jc w:val="center"/>
        </w:trPr>
        <w:tc>
          <w:tcPr>
            <w:tcW w:w="776" w:type="dxa"/>
            <w:tcBorders>
              <w:top w:val="single" w:sz="4" w:space="0" w:color="auto"/>
              <w:left w:val="single" w:sz="4" w:space="0" w:color="auto"/>
              <w:bottom w:val="single" w:sz="4" w:space="0" w:color="auto"/>
              <w:right w:val="single" w:sz="4" w:space="0" w:color="auto"/>
            </w:tcBorders>
            <w:vAlign w:val="center"/>
          </w:tcPr>
          <w:p w14:paraId="3953C5B5"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lastRenderedPageBreak/>
              <w:t>王虎</w:t>
            </w:r>
          </w:p>
        </w:tc>
        <w:tc>
          <w:tcPr>
            <w:tcW w:w="495" w:type="dxa"/>
            <w:tcBorders>
              <w:top w:val="single" w:sz="4" w:space="0" w:color="auto"/>
              <w:left w:val="single" w:sz="4" w:space="0" w:color="auto"/>
              <w:bottom w:val="single" w:sz="4" w:space="0" w:color="auto"/>
              <w:right w:val="single" w:sz="4" w:space="0" w:color="auto"/>
            </w:tcBorders>
            <w:vAlign w:val="center"/>
          </w:tcPr>
          <w:p w14:paraId="5DD49455"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12</w:t>
            </w:r>
          </w:p>
        </w:tc>
        <w:tc>
          <w:tcPr>
            <w:tcW w:w="826" w:type="dxa"/>
            <w:tcBorders>
              <w:top w:val="single" w:sz="4" w:space="0" w:color="auto"/>
              <w:left w:val="single" w:sz="4" w:space="0" w:color="auto"/>
              <w:bottom w:val="single" w:sz="4" w:space="0" w:color="auto"/>
              <w:right w:val="single" w:sz="4" w:space="0" w:color="auto"/>
            </w:tcBorders>
            <w:vAlign w:val="center"/>
          </w:tcPr>
          <w:p w14:paraId="3F4B6A14" w14:textId="77777777" w:rsidR="008F1728" w:rsidRDefault="008F1728" w:rsidP="00244DEC">
            <w:pPr>
              <w:ind w:firstLineChars="0" w:firstLine="0"/>
              <w:jc w:val="center"/>
              <w:rPr>
                <w:rFonts w:eastAsia="方正仿宋_GBK" w:cs="方正仿宋_GB2312"/>
                <w:sz w:val="21"/>
              </w:rPr>
            </w:pPr>
            <w:r>
              <w:rPr>
                <w:rFonts w:eastAsia="方正仿宋_GBK" w:cs="方正仿宋_GB2312"/>
                <w:sz w:val="21"/>
              </w:rPr>
              <w:t>研发工程师</w:t>
            </w:r>
          </w:p>
        </w:tc>
        <w:tc>
          <w:tcPr>
            <w:tcW w:w="733" w:type="dxa"/>
            <w:tcBorders>
              <w:top w:val="single" w:sz="4" w:space="0" w:color="auto"/>
              <w:left w:val="single" w:sz="4" w:space="0" w:color="auto"/>
              <w:bottom w:val="single" w:sz="4" w:space="0" w:color="auto"/>
              <w:right w:val="single" w:sz="4" w:space="0" w:color="auto"/>
            </w:tcBorders>
            <w:vAlign w:val="center"/>
          </w:tcPr>
          <w:p w14:paraId="4B315C01"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3FA36AEE"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7B49FAC2"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6025DD8F"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hint="eastAsia"/>
                <w:sz w:val="21"/>
              </w:rPr>
              <w:t>对本项目主要科技创新的贡献：完成了电池安全预警平台从原型到规模化商用的系统工程化跨越，构建了分层解耦的高并发处理管道与自动化交付体系。</w:t>
            </w:r>
          </w:p>
        </w:tc>
      </w:tr>
      <w:tr w:rsidR="008F1728" w14:paraId="425C4041" w14:textId="77777777" w:rsidTr="00244DEC">
        <w:trPr>
          <w:trHeight w:hRule="exact" w:val="2645"/>
          <w:jc w:val="center"/>
        </w:trPr>
        <w:tc>
          <w:tcPr>
            <w:tcW w:w="776" w:type="dxa"/>
            <w:tcBorders>
              <w:top w:val="single" w:sz="4" w:space="0" w:color="auto"/>
              <w:left w:val="single" w:sz="4" w:space="0" w:color="auto"/>
              <w:bottom w:val="single" w:sz="4" w:space="0" w:color="auto"/>
              <w:right w:val="single" w:sz="4" w:space="0" w:color="auto"/>
            </w:tcBorders>
            <w:vAlign w:val="center"/>
          </w:tcPr>
          <w:p w14:paraId="651A43E0"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方舟</w:t>
            </w:r>
          </w:p>
        </w:tc>
        <w:tc>
          <w:tcPr>
            <w:tcW w:w="495" w:type="dxa"/>
            <w:tcBorders>
              <w:top w:val="single" w:sz="4" w:space="0" w:color="auto"/>
              <w:left w:val="single" w:sz="4" w:space="0" w:color="auto"/>
              <w:bottom w:val="single" w:sz="4" w:space="0" w:color="auto"/>
              <w:right w:val="single" w:sz="4" w:space="0" w:color="auto"/>
            </w:tcBorders>
            <w:vAlign w:val="center"/>
          </w:tcPr>
          <w:p w14:paraId="3BAADFBD"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13</w:t>
            </w:r>
          </w:p>
        </w:tc>
        <w:tc>
          <w:tcPr>
            <w:tcW w:w="826" w:type="dxa"/>
            <w:tcBorders>
              <w:top w:val="single" w:sz="4" w:space="0" w:color="auto"/>
              <w:left w:val="single" w:sz="4" w:space="0" w:color="auto"/>
              <w:bottom w:val="single" w:sz="4" w:space="0" w:color="auto"/>
              <w:right w:val="single" w:sz="4" w:space="0" w:color="auto"/>
            </w:tcBorders>
            <w:vAlign w:val="center"/>
          </w:tcPr>
          <w:p w14:paraId="255616B3"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经理</w:t>
            </w:r>
          </w:p>
        </w:tc>
        <w:tc>
          <w:tcPr>
            <w:tcW w:w="733" w:type="dxa"/>
            <w:tcBorders>
              <w:top w:val="single" w:sz="4" w:space="0" w:color="auto"/>
              <w:left w:val="single" w:sz="4" w:space="0" w:color="auto"/>
              <w:bottom w:val="single" w:sz="4" w:space="0" w:color="auto"/>
              <w:right w:val="single" w:sz="4" w:space="0" w:color="auto"/>
            </w:tcBorders>
            <w:vAlign w:val="center"/>
          </w:tcPr>
          <w:p w14:paraId="72B19DFA"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23066E91"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48CC7622"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66DCDECD"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bCs/>
                <w:sz w:val="21"/>
                <w:szCs w:val="21"/>
              </w:rPr>
              <w:t>对本项目主要科技创新的贡献：主要完成软件平台搭建和系统工程化落地，实现了微服务链路的高可用与故障自愈，确保平台高可用性。</w:t>
            </w:r>
          </w:p>
        </w:tc>
      </w:tr>
      <w:tr w:rsidR="008F1728" w14:paraId="53D4D54E" w14:textId="77777777" w:rsidTr="00244DEC">
        <w:trPr>
          <w:trHeight w:hRule="exact" w:val="5418"/>
          <w:jc w:val="center"/>
        </w:trPr>
        <w:tc>
          <w:tcPr>
            <w:tcW w:w="776" w:type="dxa"/>
            <w:tcBorders>
              <w:top w:val="single" w:sz="4" w:space="0" w:color="auto"/>
              <w:left w:val="single" w:sz="4" w:space="0" w:color="auto"/>
              <w:bottom w:val="single" w:sz="4" w:space="0" w:color="auto"/>
              <w:right w:val="single" w:sz="4" w:space="0" w:color="auto"/>
            </w:tcBorders>
            <w:vAlign w:val="center"/>
          </w:tcPr>
          <w:p w14:paraId="6819D906"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巴海龙</w:t>
            </w:r>
          </w:p>
        </w:tc>
        <w:tc>
          <w:tcPr>
            <w:tcW w:w="495" w:type="dxa"/>
            <w:tcBorders>
              <w:top w:val="single" w:sz="4" w:space="0" w:color="auto"/>
              <w:left w:val="single" w:sz="4" w:space="0" w:color="auto"/>
              <w:bottom w:val="single" w:sz="4" w:space="0" w:color="auto"/>
              <w:right w:val="single" w:sz="4" w:space="0" w:color="auto"/>
            </w:tcBorders>
            <w:vAlign w:val="center"/>
          </w:tcPr>
          <w:p w14:paraId="42A7AC19"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14</w:t>
            </w:r>
          </w:p>
        </w:tc>
        <w:tc>
          <w:tcPr>
            <w:tcW w:w="826" w:type="dxa"/>
            <w:tcBorders>
              <w:top w:val="single" w:sz="4" w:space="0" w:color="auto"/>
              <w:left w:val="single" w:sz="4" w:space="0" w:color="auto"/>
              <w:bottom w:val="single" w:sz="4" w:space="0" w:color="auto"/>
              <w:right w:val="single" w:sz="4" w:space="0" w:color="auto"/>
            </w:tcBorders>
            <w:vAlign w:val="center"/>
          </w:tcPr>
          <w:p w14:paraId="35820AA8"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资深工程师</w:t>
            </w:r>
          </w:p>
        </w:tc>
        <w:tc>
          <w:tcPr>
            <w:tcW w:w="733" w:type="dxa"/>
            <w:tcBorders>
              <w:top w:val="single" w:sz="4" w:space="0" w:color="auto"/>
              <w:left w:val="single" w:sz="4" w:space="0" w:color="auto"/>
              <w:bottom w:val="single" w:sz="4" w:space="0" w:color="auto"/>
              <w:right w:val="single" w:sz="4" w:space="0" w:color="auto"/>
            </w:tcBorders>
            <w:vAlign w:val="center"/>
          </w:tcPr>
          <w:p w14:paraId="58DFA51F" w14:textId="77777777" w:rsidR="008F1728" w:rsidRDefault="008F1728" w:rsidP="00244DEC">
            <w:pPr>
              <w:ind w:firstLineChars="0" w:firstLine="0"/>
              <w:jc w:val="center"/>
              <w:rPr>
                <w:rFonts w:eastAsia="方正仿宋_GBK" w:cs="方正仿宋_GB2312"/>
                <w:sz w:val="21"/>
              </w:rPr>
            </w:pPr>
            <w:r>
              <w:rPr>
                <w:rFonts w:eastAsia="方正仿宋_GBK" w:cs="方正仿宋_GB2312" w:hint="eastAsia"/>
                <w:sz w:val="21"/>
              </w:rPr>
              <w:t>/</w:t>
            </w:r>
          </w:p>
        </w:tc>
        <w:tc>
          <w:tcPr>
            <w:tcW w:w="1139" w:type="dxa"/>
            <w:tcBorders>
              <w:top w:val="single" w:sz="4" w:space="0" w:color="auto"/>
              <w:left w:val="single" w:sz="4" w:space="0" w:color="auto"/>
              <w:bottom w:val="single" w:sz="4" w:space="0" w:color="auto"/>
              <w:right w:val="single" w:sz="4" w:space="0" w:color="auto"/>
            </w:tcBorders>
            <w:vAlign w:val="center"/>
          </w:tcPr>
          <w:p w14:paraId="16CE8B27"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1403" w:type="dxa"/>
            <w:tcBorders>
              <w:top w:val="single" w:sz="4" w:space="0" w:color="auto"/>
              <w:left w:val="single" w:sz="4" w:space="0" w:color="auto"/>
              <w:bottom w:val="single" w:sz="4" w:space="0" w:color="auto"/>
              <w:right w:val="single" w:sz="4" w:space="0" w:color="auto"/>
            </w:tcBorders>
            <w:vAlign w:val="center"/>
          </w:tcPr>
          <w:p w14:paraId="0CBD186F" w14:textId="77777777" w:rsidR="008F1728" w:rsidRDefault="008F1728" w:rsidP="00244DEC">
            <w:pPr>
              <w:ind w:firstLineChars="0" w:firstLine="0"/>
              <w:jc w:val="left"/>
              <w:rPr>
                <w:rFonts w:eastAsia="方正仿宋_GBK" w:cs="方正仿宋_GB2312"/>
                <w:sz w:val="21"/>
              </w:rPr>
            </w:pPr>
            <w:r>
              <w:rPr>
                <w:rFonts w:eastAsia="方正仿宋_GBK" w:cs="方正仿宋_GB2312" w:hint="eastAsia"/>
                <w:sz w:val="21"/>
              </w:rPr>
              <w:t>合肥国轩高科动力能源有限公司</w:t>
            </w:r>
          </w:p>
        </w:tc>
        <w:tc>
          <w:tcPr>
            <w:tcW w:w="4121" w:type="dxa"/>
            <w:tcBorders>
              <w:top w:val="single" w:sz="4" w:space="0" w:color="auto"/>
              <w:left w:val="single" w:sz="4" w:space="0" w:color="auto"/>
              <w:bottom w:val="single" w:sz="4" w:space="0" w:color="auto"/>
              <w:right w:val="single" w:sz="4" w:space="0" w:color="auto"/>
            </w:tcBorders>
            <w:vAlign w:val="center"/>
          </w:tcPr>
          <w:p w14:paraId="4D5F15D1" w14:textId="77777777" w:rsidR="008F1728" w:rsidRDefault="008F1728" w:rsidP="00244DEC">
            <w:pPr>
              <w:spacing w:line="204" w:lineRule="auto"/>
              <w:ind w:firstLineChars="0" w:firstLine="0"/>
              <w:jc w:val="center"/>
              <w:rPr>
                <w:rFonts w:eastAsia="方正仿宋_GBK" w:cs="方正仿宋_GB2312"/>
                <w:sz w:val="21"/>
              </w:rPr>
            </w:pPr>
            <w:r>
              <w:rPr>
                <w:rFonts w:eastAsia="方正仿宋_GBK" w:cs="方正仿宋_GB2312"/>
                <w:sz w:val="21"/>
              </w:rPr>
              <w:t>主要参与锂电池数据采集异常智能甄别与清洗技术的算法辅助实现、实测数据验证及工程化适配工作，协助完成三级数据清洗架构的参数调试、异常数据样本标注与效果校验，保障了数据清洗技术在高并发场景下稳定落地，为内阻估算、</w:t>
            </w:r>
            <w:r>
              <w:rPr>
                <w:rFonts w:eastAsia="方正仿宋_GBK" w:cs="方正仿宋_GB2312"/>
                <w:sz w:val="21"/>
              </w:rPr>
              <w:t xml:space="preserve">SOC </w:t>
            </w:r>
            <w:r>
              <w:rPr>
                <w:rFonts w:eastAsia="方正仿宋_GBK" w:cs="方正仿宋_GB2312"/>
                <w:sz w:val="21"/>
              </w:rPr>
              <w:t>一致性评估、跨空间异常识别等核心算法提供了高质量、高可靠的数据源支撑</w:t>
            </w:r>
            <w:r>
              <w:rPr>
                <w:rFonts w:eastAsia="方正仿宋_GBK" w:cs="方正仿宋_GB2312" w:hint="eastAsia"/>
                <w:sz w:val="21"/>
              </w:rPr>
              <w:t>。</w:t>
            </w:r>
          </w:p>
        </w:tc>
      </w:tr>
    </w:tbl>
    <w:p w14:paraId="2707FE22" w14:textId="77777777" w:rsidR="008F1728" w:rsidRDefault="008F1728" w:rsidP="008F1728">
      <w:pPr>
        <w:ind w:firstLine="562"/>
        <w:rPr>
          <w:rFonts w:ascii="宋体" w:hAnsi="宋体" w:cs="仿宋"/>
          <w:b/>
          <w:bCs/>
          <w:sz w:val="28"/>
          <w:szCs w:val="28"/>
        </w:rPr>
      </w:pPr>
    </w:p>
    <w:p w14:paraId="78AD2E4C" w14:textId="77777777" w:rsidR="008F1728" w:rsidRDefault="008F1728" w:rsidP="008F1728">
      <w:pPr>
        <w:ind w:firstLine="602"/>
        <w:rPr>
          <w:b/>
          <w:bCs/>
        </w:rPr>
      </w:pPr>
      <w:r>
        <w:rPr>
          <w:rFonts w:hint="eastAsia"/>
          <w:b/>
          <w:bCs/>
        </w:rPr>
        <w:t>五、项目主要完成单位情况</w:t>
      </w:r>
    </w:p>
    <w:p w14:paraId="26D6128C" w14:textId="77777777" w:rsidR="008F1728" w:rsidRDefault="008F1728" w:rsidP="008F1728">
      <w:pPr>
        <w:ind w:firstLine="600"/>
      </w:pPr>
      <w:r>
        <w:rPr>
          <w:rFonts w:hint="eastAsia"/>
        </w:rPr>
        <w:t>1.</w:t>
      </w:r>
      <w:r>
        <w:rPr>
          <w:rFonts w:hint="eastAsia"/>
        </w:rPr>
        <w:t>排名</w:t>
      </w:r>
      <w:r>
        <w:rPr>
          <w:rFonts w:hint="eastAsia"/>
        </w:rPr>
        <w:t>1</w:t>
      </w:r>
      <w:r>
        <w:rPr>
          <w:rFonts w:hint="eastAsia"/>
        </w:rPr>
        <w:t>：合肥国轩高科动力能源有限公司</w:t>
      </w:r>
    </w:p>
    <w:p w14:paraId="7D923EED" w14:textId="77777777" w:rsidR="008F1728" w:rsidRDefault="008F1728" w:rsidP="008F1728">
      <w:pPr>
        <w:ind w:firstLine="600"/>
      </w:pPr>
      <w:r>
        <w:t>本项目由合肥国轩主持执行，作为项目实施的主体与核心平台，在科技创新方面，持续加大研发投入，构建了</w:t>
      </w:r>
      <w:r>
        <w:t>“</w:t>
      </w:r>
      <w:r>
        <w:t>产学研用</w:t>
      </w:r>
      <w:r>
        <w:t>”</w:t>
      </w:r>
      <w:r>
        <w:t>深度融合的创</w:t>
      </w:r>
      <w:r>
        <w:lastRenderedPageBreak/>
        <w:t>新体系，提供了支持车载与储能电站的海量实测场景及高性能算力底座，支撑了从数据清洗、内阻检测到</w:t>
      </w:r>
      <w:r>
        <w:t>SOC</w:t>
      </w:r>
      <w:r>
        <w:t>估算，以及故障预警等关键算法的迭代突破以及相关大数据平台系统的建设；在推广应用方面，单位依托强大的工程化能力与产业链整合优势，主导建立了覆盖乘用车、商用车及储能的多场景规模化应用示范，大力推动了大数据监控云平台建设，推进项目成果转化为高可靠的安全预警产品，通过全面安全预警显著降低锂电池故障带来的直接经济损失。在车载电池与储能电站领域，平台的高精度预警极大减少了安全事故风险，保障资产安全，提升运营效率，同时维护了企业品牌声誉，对新能源汽车产业及储能行业的发展也起到了支撑作用，强化了锂电池安全预警体系，为</w:t>
      </w:r>
      <w:r>
        <w:t>“</w:t>
      </w:r>
      <w:r>
        <w:t>双碳</w:t>
      </w:r>
      <w:r>
        <w:t>”</w:t>
      </w:r>
      <w:r>
        <w:t>目标贡献力量，加速了绿色能源转型，促进了经济社会与环境的和谐共生，展现了显著的社会正向影响力。</w:t>
      </w:r>
    </w:p>
    <w:p w14:paraId="6E850188" w14:textId="77777777" w:rsidR="008F1728" w:rsidRDefault="008F1728" w:rsidP="008F1728">
      <w:pPr>
        <w:ind w:firstLine="600"/>
      </w:pPr>
      <w:r>
        <w:rPr>
          <w:rFonts w:hint="eastAsia"/>
        </w:rPr>
        <w:t>2.</w:t>
      </w:r>
      <w:r>
        <w:rPr>
          <w:rFonts w:hint="eastAsia"/>
        </w:rPr>
        <w:t>排名</w:t>
      </w:r>
      <w:r>
        <w:rPr>
          <w:rFonts w:hint="eastAsia"/>
        </w:rPr>
        <w:t>2</w:t>
      </w:r>
      <w:r>
        <w:rPr>
          <w:rFonts w:hint="eastAsia"/>
        </w:rPr>
        <w:t>：中国科学技术大学</w:t>
      </w:r>
    </w:p>
    <w:p w14:paraId="7F98ACEC" w14:textId="77777777" w:rsidR="008F1728" w:rsidRDefault="008F1728" w:rsidP="008F1728">
      <w:pPr>
        <w:ind w:firstLine="600"/>
        <w:rPr>
          <w:color w:val="FF0000"/>
        </w:rPr>
      </w:pPr>
      <w:r>
        <w:rPr>
          <w:rFonts w:hint="eastAsia"/>
        </w:rPr>
        <w:t>本单位充分发挥高校在基础理论研究、前沿技术攻关与产学研协同创新方面的优势，为项目提供了重要的理论、技术与平台支撑。在科技创新方面，牵头攻克电池故障诊断跨空间泛化与冷启动难题，统筹指导项目整体技术方向和五大核心创新的理论凝练与协同集成，提出原创性的基于共性智能的跨区域异常识别技术路线，参与电池全生命周期安全管理体系顶层。同时，中国科大项目组围绕跨空间车辆电池异常识别，系统开展多源数据整理、工况样本采集、模型验证、参数调试和性能优化，为算法工程化落地提供支撑。在推广应用方面，依托中国科大科研平台、人才团队及产学研合作网络，协同国轩高科开展技</w:t>
      </w:r>
      <w:r>
        <w:rPr>
          <w:rFonts w:hint="eastAsia"/>
        </w:rPr>
        <w:lastRenderedPageBreak/>
        <w:t>术验证、成果转化与示范推广，推动前沿算法在车载电池和储能电站等场景中的适配应用，为构建高可靠电池安全监控与主动预警体系、提升行业智能化安全管理水平提供了重要支撑。</w:t>
      </w:r>
    </w:p>
    <w:p w14:paraId="1F2ED6F1" w14:textId="77777777" w:rsidR="008F1728" w:rsidRDefault="008F1728" w:rsidP="008F1728">
      <w:pPr>
        <w:ind w:firstLineChars="0" w:firstLine="0"/>
        <w:rPr>
          <w:rFonts w:ascii="宋体" w:hAnsi="宋体"/>
          <w:szCs w:val="30"/>
        </w:rPr>
      </w:pPr>
    </w:p>
    <w:p w14:paraId="4800C41B" w14:textId="77777777" w:rsidR="00AE047D" w:rsidRPr="008F1728" w:rsidRDefault="00AE047D">
      <w:pPr>
        <w:ind w:firstLine="600"/>
      </w:pPr>
    </w:p>
    <w:sectPr w:rsidR="00AE047D" w:rsidRPr="008F1728">
      <w:headerReference w:type="even" r:id="rId6"/>
      <w:headerReference w:type="default" r:id="rId7"/>
      <w:footerReference w:type="even" r:id="rId8"/>
      <w:footerReference w:type="default" r:id="rId9"/>
      <w:headerReference w:type="first" r:id="rId10"/>
      <w:footerReference w:type="first" r:id="rId11"/>
      <w:pgSz w:w="11906" w:h="16838"/>
      <w:pgMar w:top="1474" w:right="1417" w:bottom="1474" w:left="141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F3B7B" w14:textId="77777777" w:rsidR="008D6D58" w:rsidRDefault="008D6D58">
      <w:pPr>
        <w:ind w:firstLine="600"/>
      </w:pPr>
      <w:r>
        <w:separator/>
      </w:r>
    </w:p>
  </w:endnote>
  <w:endnote w:type="continuationSeparator" w:id="0">
    <w:p w14:paraId="2F69159A" w14:textId="77777777" w:rsidR="008D6D58" w:rsidRDefault="008D6D58">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1" w:usb1="080E0000" w:usb2="00000000" w:usb3="00000000" w:csb0="00040000" w:csb1="00000000"/>
  </w:font>
  <w:font w:name="方正仿宋_GB2312">
    <w:altName w:val="仿宋"/>
    <w:charset w:val="86"/>
    <w:family w:val="auto"/>
    <w:pitch w:val="default"/>
    <w:sig w:usb0="00000000" w:usb1="00000000"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3B2C" w14:textId="77777777" w:rsidR="00E6263A" w:rsidRDefault="008D6D58">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299B" w14:textId="77777777" w:rsidR="00E6263A" w:rsidRDefault="008D6D58">
    <w:pPr>
      <w:pStyle w:val="a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4BA6" w14:textId="77777777" w:rsidR="00E6263A" w:rsidRDefault="008D6D58">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AF0E" w14:textId="77777777" w:rsidR="008D6D58" w:rsidRDefault="008D6D58">
      <w:pPr>
        <w:ind w:firstLine="600"/>
      </w:pPr>
      <w:r>
        <w:separator/>
      </w:r>
    </w:p>
  </w:footnote>
  <w:footnote w:type="continuationSeparator" w:id="0">
    <w:p w14:paraId="04DCD343" w14:textId="77777777" w:rsidR="008D6D58" w:rsidRDefault="008D6D58">
      <w:pPr>
        <w:ind w:firstLine="6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A31B" w14:textId="77777777" w:rsidR="00E6263A" w:rsidRDefault="008D6D58">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DF11" w14:textId="77777777" w:rsidR="00E6263A" w:rsidRDefault="008D6D58">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DE71" w14:textId="77777777" w:rsidR="00E6263A" w:rsidRDefault="008D6D58">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28"/>
    <w:rsid w:val="008D6D58"/>
    <w:rsid w:val="008F1728"/>
    <w:rsid w:val="00AD7C08"/>
    <w:rsid w:val="00AE0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4BC93"/>
  <w15:chartTrackingRefBased/>
  <w15:docId w15:val="{8C860228-AAD9-4B08-9177-9DB5A5EF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8F1728"/>
    <w:pPr>
      <w:widowControl w:val="0"/>
      <w:ind w:firstLineChars="200" w:firstLine="720"/>
      <w:jc w:val="both"/>
    </w:pPr>
    <w:rPr>
      <w:rFonts w:ascii="Times New Roman" w:eastAsia="宋体" w:hAnsi="Times New Roman" w:cs="Times New Roman"/>
      <w:sz w:val="3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8F1728"/>
    <w:pPr>
      <w:tabs>
        <w:tab w:val="center" w:pos="4153"/>
        <w:tab w:val="right" w:pos="8306"/>
      </w:tabs>
      <w:snapToGrid w:val="0"/>
      <w:jc w:val="left"/>
    </w:pPr>
    <w:rPr>
      <w:sz w:val="18"/>
      <w:szCs w:val="18"/>
    </w:rPr>
  </w:style>
  <w:style w:type="character" w:customStyle="1" w:styleId="a5">
    <w:name w:val="页脚 字符"/>
    <w:basedOn w:val="a1"/>
    <w:link w:val="a4"/>
    <w:rsid w:val="008F1728"/>
    <w:rPr>
      <w:rFonts w:ascii="Times New Roman" w:eastAsia="宋体" w:hAnsi="Times New Roman" w:cs="Times New Roman"/>
      <w:sz w:val="18"/>
      <w:szCs w:val="18"/>
    </w:rPr>
  </w:style>
  <w:style w:type="paragraph" w:styleId="a6">
    <w:name w:val="header"/>
    <w:basedOn w:val="a"/>
    <w:link w:val="a7"/>
    <w:rsid w:val="008F172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rsid w:val="008F1728"/>
    <w:rPr>
      <w:rFonts w:ascii="Times New Roman" w:eastAsia="宋体" w:hAnsi="Times New Roman" w:cs="Times New Roman"/>
      <w:sz w:val="18"/>
      <w:szCs w:val="18"/>
    </w:rPr>
  </w:style>
  <w:style w:type="paragraph" w:styleId="a0">
    <w:name w:val="Body Text"/>
    <w:basedOn w:val="a"/>
    <w:link w:val="a8"/>
    <w:uiPriority w:val="99"/>
    <w:semiHidden/>
    <w:unhideWhenUsed/>
    <w:rsid w:val="008F1728"/>
    <w:pPr>
      <w:spacing w:after="120"/>
    </w:pPr>
  </w:style>
  <w:style w:type="character" w:customStyle="1" w:styleId="a8">
    <w:name w:val="正文文本 字符"/>
    <w:basedOn w:val="a1"/>
    <w:link w:val="a0"/>
    <w:uiPriority w:val="99"/>
    <w:semiHidden/>
    <w:rsid w:val="008F1728"/>
    <w:rPr>
      <w:rFonts w:ascii="Times New Roman" w:eastAsia="宋体"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645</Words>
  <Characters>3683</Characters>
  <Application>Microsoft Office Word</Application>
  <DocSecurity>0</DocSecurity>
  <Lines>30</Lines>
  <Paragraphs>8</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 江</dc:creator>
  <cp:keywords/>
  <dc:description/>
  <cp:lastModifiedBy>山 江</cp:lastModifiedBy>
  <cp:revision>2</cp:revision>
  <dcterms:created xsi:type="dcterms:W3CDTF">2026-08-25T01:11:00Z</dcterms:created>
  <dcterms:modified xsi:type="dcterms:W3CDTF">2026-08-25T01:13:00Z</dcterms:modified>
</cp:coreProperties>
</file>