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1A1065">
      <w:pPr>
        <w:pStyle w:val="5"/>
        <w:spacing w:line="360" w:lineRule="auto"/>
        <w:rPr>
          <w:rFonts w:hint="eastAsia"/>
          <w:sz w:val="44"/>
          <w:szCs w:val="44"/>
        </w:rPr>
      </w:pPr>
      <w:bookmarkStart w:id="0" w:name="_Toc220413855"/>
    </w:p>
    <w:p w14:paraId="0D2D810E">
      <w:pPr>
        <w:pStyle w:val="5"/>
        <w:spacing w:line="360" w:lineRule="auto"/>
        <w:jc w:val="center"/>
        <w:rPr>
          <w:sz w:val="44"/>
          <w:szCs w:val="44"/>
        </w:rPr>
      </w:pPr>
      <w:r>
        <w:rPr>
          <w:rFonts w:hint="eastAsia"/>
          <w:sz w:val="44"/>
          <w:szCs w:val="44"/>
        </w:rPr>
        <w:t>华医科技奖申报推荐公示内容</w:t>
      </w:r>
      <w:bookmarkEnd w:id="0"/>
    </w:p>
    <w:p w14:paraId="1D08F662">
      <w:pPr>
        <w:widowControl/>
        <w:rPr>
          <w:rFonts w:hint="eastAsia" w:ascii="宋体" w:hAnsi="宋体" w:eastAsia="宋体" w:cs="宋体"/>
          <w:kern w:val="0"/>
          <w:sz w:val="32"/>
          <w:szCs w:val="32"/>
          <w:lang w:val="en-US" w:eastAsia="zh-CN"/>
        </w:rPr>
      </w:pPr>
    </w:p>
    <w:p w14:paraId="29C43FF4">
      <w:pPr>
        <w:widowControl/>
        <w:rPr>
          <w:rFonts w:hint="eastAsia" w:ascii="宋体" w:hAnsi="宋体" w:eastAsia="宋体" w:cs="宋体"/>
          <w:kern w:val="0"/>
          <w:sz w:val="32"/>
          <w:szCs w:val="32"/>
          <w:u w:val="none"/>
          <w:lang w:val="en-US" w:eastAsia="zh-CN"/>
        </w:rPr>
      </w:pPr>
      <w:r>
        <w:rPr>
          <w:rFonts w:hint="eastAsia" w:ascii="宋体" w:hAnsi="宋体" w:eastAsia="宋体" w:cs="宋体"/>
          <w:kern w:val="0"/>
          <w:sz w:val="32"/>
          <w:szCs w:val="32"/>
          <w:lang w:val="en-US" w:eastAsia="zh-CN"/>
        </w:rPr>
        <w:t>项目</w:t>
      </w:r>
      <w:r>
        <w:rPr>
          <w:rFonts w:hint="eastAsia" w:ascii="宋体" w:hAnsi="宋体" w:cs="宋体"/>
          <w:kern w:val="0"/>
          <w:sz w:val="32"/>
          <w:szCs w:val="32"/>
          <w:lang w:val="en-US" w:eastAsia="zh-CN"/>
        </w:rPr>
        <w:t>名称</w:t>
      </w:r>
      <w:r>
        <w:rPr>
          <w:rFonts w:hint="eastAsia" w:ascii="宋体" w:hAnsi="宋体" w:eastAsia="宋体" w:cs="宋体"/>
          <w:kern w:val="0"/>
          <w:sz w:val="32"/>
          <w:szCs w:val="32"/>
          <w:lang w:val="en-US" w:eastAsia="zh-CN"/>
        </w:rPr>
        <w:t>：</w:t>
      </w:r>
      <w:r>
        <w:rPr>
          <w:rFonts w:hint="eastAsia" w:ascii="宋体" w:hAnsi="宋体" w:eastAsia="宋体" w:cs="宋体"/>
          <w:kern w:val="0"/>
          <w:sz w:val="32"/>
          <w:szCs w:val="32"/>
          <w:u w:val="none"/>
          <w:lang w:val="en-US" w:eastAsia="zh-CN"/>
        </w:rPr>
        <w:t>脑体互作紊乱的发病机制及干预策略</w:t>
      </w:r>
    </w:p>
    <w:p w14:paraId="0966347E">
      <w:pPr>
        <w:widowControl/>
        <w:rPr>
          <w:rFonts w:hint="eastAsia" w:ascii="宋体" w:hAnsi="宋体" w:cs="宋体"/>
          <w:kern w:val="0"/>
          <w:sz w:val="32"/>
          <w:szCs w:val="32"/>
          <w:u w:val="none"/>
          <w:lang w:val="en-US" w:eastAsia="zh-CN"/>
        </w:rPr>
      </w:pPr>
      <w:r>
        <w:rPr>
          <w:rFonts w:hint="eastAsia" w:ascii="宋体" w:hAnsi="宋体" w:cs="宋体"/>
          <w:kern w:val="0"/>
          <w:sz w:val="32"/>
          <w:szCs w:val="32"/>
          <w:u w:val="none"/>
          <w:lang w:val="en-US" w:eastAsia="zh-CN"/>
        </w:rPr>
        <w:t>推荐单位：中国科学技术大学</w:t>
      </w:r>
    </w:p>
    <w:p w14:paraId="275AEB50">
      <w:pPr>
        <w:widowControl/>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项目主要完成人及主要完成单位：</w:t>
      </w:r>
    </w:p>
    <w:p w14:paraId="76CFCDEF">
      <w:pPr>
        <w:widowControl/>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熊伟，中国科学技术大学；</w:t>
      </w:r>
    </w:p>
    <w:p w14:paraId="7007F2F5">
      <w:pPr>
        <w:widowControl/>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夏百荣，中国科学技术大学附属第一医院；</w:t>
      </w:r>
    </w:p>
    <w:p w14:paraId="595A1AE3">
      <w:pPr>
        <w:widowControl/>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薛天，中国科学技术大学；</w:t>
      </w:r>
    </w:p>
    <w:p w14:paraId="5F34D6BD">
      <w:pPr>
        <w:widowControl/>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陈珏，上海市精神卫生中心；</w:t>
      </w:r>
    </w:p>
    <w:p w14:paraId="2C61C53E">
      <w:pPr>
        <w:widowControl/>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郭薇薇，中国科学技术大学</w:t>
      </w:r>
    </w:p>
    <w:p w14:paraId="6E139752">
      <w:pPr>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br w:type="page"/>
      </w:r>
    </w:p>
    <w:p w14:paraId="56148855">
      <w:pPr>
        <w:snapToGrid w:val="0"/>
        <w:jc w:val="center"/>
        <w:rPr>
          <w:b/>
          <w:sz w:val="28"/>
          <w:szCs w:val="28"/>
        </w:rPr>
      </w:pPr>
      <w:r>
        <w:rPr>
          <w:b/>
          <w:sz w:val="28"/>
          <w:szCs w:val="28"/>
        </w:rPr>
        <w:t>项目简介</w:t>
      </w:r>
    </w:p>
    <w:p w14:paraId="1604FA46">
      <w:pPr>
        <w:numPr>
          <w:ilvl w:val="0"/>
          <w:numId w:val="0"/>
        </w:numPr>
        <w:spacing w:line="360" w:lineRule="exact"/>
        <w:ind w:firstLine="420" w:firstLineChars="20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脑体互作</w:t>
      </w:r>
      <w:r>
        <w:rPr>
          <w:rFonts w:hint="eastAsia" w:ascii="Times New Roman" w:hAnsi="Times New Roman" w:eastAsia="宋体" w:cs="Times New Roman"/>
          <w:sz w:val="21"/>
          <w:szCs w:val="21"/>
          <w:lang w:val="en-US" w:eastAsia="zh-CN"/>
        </w:rPr>
        <w:t>是神经科学与医学研究的重要前沿，也是</w:t>
      </w:r>
      <w:r>
        <w:rPr>
          <w:rFonts w:hint="eastAsia" w:ascii="Times New Roman" w:hAnsi="Times New Roman" w:eastAsia="宋体" w:cs="Times New Roman"/>
          <w:sz w:val="21"/>
          <w:szCs w:val="21"/>
        </w:rPr>
        <w:t>国家战略“中国脑计划”的核心方向</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rPr>
        <w:t>中枢神经系统与外周器官之间存在复杂的双向调控</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rPr>
        <w:t>临床实践表明，神经系统疾病常伴随外周脏器功能障碍，反之，外周器官的病变也极易诱发情绪与认知损伤。此类脑体共病患病率高、医疗负担沉重，但其跨器官调控的分子机制和神经环路基础长期缺乏系统阐明，严重制约了相关疾病的防治。团队从</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自上而下</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的中枢驱动与</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自下而上</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的外周反馈两个维度，系统解析脑体互作失衡的发病机制</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并开发检测脑体互作紊乱关键介质的核心技术，探索基于代谢与环路调控的干预新策略。研究获得科技部“十三五”重点研发计划、国家杰出青年基金、国家优秀青年基金、基金委重点和面上项目、创新群体等项目资助，取得了一系列创新性成果</w:t>
      </w:r>
      <w:r>
        <w:rPr>
          <w:rFonts w:hint="eastAsia" w:ascii="Times New Roman" w:hAnsi="Times New Roman" w:eastAsia="宋体" w:cs="Times New Roman"/>
          <w:sz w:val="21"/>
          <w:szCs w:val="21"/>
          <w:lang w:eastAsia="zh-CN"/>
        </w:rPr>
        <w:t>：</w:t>
      </w:r>
    </w:p>
    <w:p w14:paraId="14E4D384">
      <w:pPr>
        <w:numPr>
          <w:ilvl w:val="0"/>
          <w:numId w:val="1"/>
        </w:numPr>
        <w:spacing w:line="360" w:lineRule="exact"/>
        <w:rPr>
          <w:rFonts w:hint="eastAsia"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外周源信号刺激对脑功能的重塑机制与干预靶点：</w:t>
      </w:r>
      <w:r>
        <w:rPr>
          <w:rFonts w:hint="eastAsia" w:ascii="Times New Roman" w:hAnsi="Times New Roman" w:eastAsia="宋体" w:cs="Times New Roman"/>
          <w:sz w:val="21"/>
          <w:szCs w:val="21"/>
        </w:rPr>
        <w:t>针对皮肤-大脑互作紊乱，</w:t>
      </w:r>
      <w:r>
        <w:rPr>
          <w:rFonts w:hint="eastAsia" w:ascii="Times New Roman" w:hAnsi="Times New Roman" w:eastAsia="宋体" w:cs="Times New Roman"/>
          <w:sz w:val="21"/>
          <w:szCs w:val="21"/>
          <w:lang w:val="en-US" w:eastAsia="zh-CN"/>
        </w:rPr>
        <w:t>发现</w:t>
      </w:r>
      <w:r>
        <w:rPr>
          <w:rFonts w:hint="eastAsia" w:ascii="Times New Roman" w:hAnsi="Times New Roman" w:eastAsia="宋体" w:cs="Times New Roman"/>
          <w:sz w:val="21"/>
          <w:szCs w:val="21"/>
        </w:rPr>
        <w:t>日光照射通过“皮-脑”轴通路重塑海马功能以改善学习记忆，为干预皮肤源性脑功能失衡提供新靶点【Cell, 2018】；针对耳-脑互作紊乱，解析了声音和光等刺激影响运动和认知</w:t>
      </w:r>
      <w:r>
        <w:rPr>
          <w:rFonts w:hint="eastAsia" w:ascii="Times New Roman" w:hAnsi="Times New Roman" w:eastAsia="宋体" w:cs="Times New Roman"/>
          <w:sz w:val="21"/>
          <w:szCs w:val="21"/>
          <w:lang w:val="en-US" w:eastAsia="zh-CN"/>
        </w:rPr>
        <w:t>水平</w:t>
      </w:r>
      <w:r>
        <w:rPr>
          <w:rFonts w:hint="eastAsia" w:ascii="Times New Roman" w:hAnsi="Times New Roman" w:eastAsia="宋体" w:cs="Times New Roman"/>
          <w:sz w:val="21"/>
          <w:szCs w:val="21"/>
        </w:rPr>
        <w:t>的“耳-脑”轴神经环路</w:t>
      </w:r>
      <w:bookmarkStart w:id="1" w:name="OLE_LINK9"/>
      <w:r>
        <w:rPr>
          <w:rFonts w:hint="eastAsia" w:ascii="Times New Roman" w:hAnsi="Times New Roman" w:eastAsia="宋体" w:cs="Times New Roman"/>
          <w:sz w:val="21"/>
          <w:szCs w:val="21"/>
        </w:rPr>
        <w:t>【</w:t>
      </w:r>
      <w:bookmarkStart w:id="2" w:name="OLE_LINK7"/>
      <w:r>
        <w:rPr>
          <w:rFonts w:hint="eastAsia" w:ascii="Times New Roman" w:hAnsi="Times New Roman" w:eastAsia="宋体" w:cs="Times New Roman"/>
          <w:sz w:val="21"/>
          <w:szCs w:val="21"/>
        </w:rPr>
        <w:t>Nature Communications, 2021</w:t>
      </w:r>
      <w:bookmarkEnd w:id="2"/>
      <w:r>
        <w:rPr>
          <w:rFonts w:hint="eastAsia" w:ascii="Times New Roman" w:hAnsi="Times New Roman" w:eastAsia="宋体" w:cs="Times New Roman"/>
          <w:sz w:val="21"/>
          <w:szCs w:val="21"/>
        </w:rPr>
        <w:t>; Molecular Psychiatry, 2022】</w:t>
      </w:r>
      <w:bookmarkEnd w:id="1"/>
      <w:r>
        <w:rPr>
          <w:rFonts w:hint="eastAsia" w:ascii="Times New Roman" w:hAnsi="Times New Roman" w:eastAsia="宋体" w:cs="Times New Roman"/>
          <w:sz w:val="21"/>
          <w:szCs w:val="21"/>
        </w:rPr>
        <w:t>。</w:t>
      </w:r>
    </w:p>
    <w:p w14:paraId="1468BA4D">
      <w:pPr>
        <w:numPr>
          <w:ilvl w:val="0"/>
          <w:numId w:val="1"/>
        </w:numPr>
        <w:spacing w:line="360" w:lineRule="exact"/>
        <w:rPr>
          <w:rFonts w:hint="eastAsia" w:ascii="Times New Roman" w:hAnsi="Times New Roman" w:eastAsia="宋体" w:cs="Times New Roman"/>
          <w:sz w:val="21"/>
          <w:szCs w:val="21"/>
        </w:rPr>
      </w:pPr>
      <w:bookmarkStart w:id="3" w:name="OLE_LINK4"/>
      <w:bookmarkStart w:id="4" w:name="OLE_LINK5"/>
      <w:r>
        <w:rPr>
          <w:rFonts w:hint="eastAsia" w:ascii="Times New Roman" w:hAnsi="Times New Roman" w:eastAsia="宋体" w:cs="Times New Roman"/>
          <w:sz w:val="21"/>
          <w:szCs w:val="21"/>
        </w:rPr>
        <w:t>脑功能紊乱对外周器官的调控机制与干预靶点：针对脑-</w:t>
      </w:r>
      <w:r>
        <w:rPr>
          <w:rFonts w:hint="eastAsia" w:ascii="Times New Roman" w:hAnsi="Times New Roman" w:eastAsia="宋体" w:cs="Times New Roman"/>
          <w:sz w:val="21"/>
          <w:szCs w:val="21"/>
          <w:lang w:val="en-US" w:eastAsia="zh-CN"/>
        </w:rPr>
        <w:t>代谢</w:t>
      </w:r>
      <w:r>
        <w:rPr>
          <w:rFonts w:hint="eastAsia" w:ascii="Times New Roman" w:hAnsi="Times New Roman" w:eastAsia="宋体" w:cs="Times New Roman"/>
          <w:sz w:val="21"/>
          <w:szCs w:val="21"/>
        </w:rPr>
        <w:t>互作紊乱，</w:t>
      </w:r>
      <w:r>
        <w:rPr>
          <w:rFonts w:hint="eastAsia" w:ascii="Times New Roman" w:hAnsi="Times New Roman" w:eastAsia="宋体" w:cs="Times New Roman"/>
          <w:sz w:val="21"/>
          <w:szCs w:val="21"/>
          <w:lang w:val="en-US" w:eastAsia="zh-CN"/>
        </w:rPr>
        <w:t>发现</w:t>
      </w:r>
      <w:r>
        <w:rPr>
          <w:rFonts w:hint="eastAsia" w:ascii="Times New Roman" w:hAnsi="Times New Roman" w:eastAsia="宋体" w:cs="Times New Roman"/>
          <w:sz w:val="21"/>
          <w:szCs w:val="21"/>
        </w:rPr>
        <w:t>光刺激通过</w:t>
      </w:r>
      <w:r>
        <w:rPr>
          <w:rFonts w:hint="eastAsia" w:ascii="Times New Roman" w:hAnsi="Times New Roman" w:eastAsia="宋体" w:cs="Times New Roman"/>
          <w:sz w:val="21"/>
          <w:szCs w:val="21"/>
          <w:lang w:val="en-US" w:eastAsia="zh-CN"/>
        </w:rPr>
        <w:t>眼-</w:t>
      </w:r>
      <w:r>
        <w:rPr>
          <w:rFonts w:hint="eastAsia" w:ascii="Times New Roman" w:hAnsi="Times New Roman" w:eastAsia="宋体" w:cs="Times New Roman"/>
          <w:sz w:val="21"/>
          <w:szCs w:val="21"/>
        </w:rPr>
        <w:t>脑</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棕色脂肪组织通路调控</w:t>
      </w:r>
      <w:r>
        <w:rPr>
          <w:rFonts w:hint="eastAsia" w:ascii="Times New Roman" w:hAnsi="Times New Roman" w:eastAsia="宋体" w:cs="Times New Roman"/>
          <w:sz w:val="21"/>
          <w:szCs w:val="21"/>
          <w:lang w:val="en-US" w:eastAsia="zh-CN"/>
        </w:rPr>
        <w:t>血糖耐受</w:t>
      </w:r>
      <w:r>
        <w:rPr>
          <w:rFonts w:hint="eastAsia" w:ascii="Times New Roman" w:hAnsi="Times New Roman" w:eastAsia="宋体" w:cs="Times New Roman"/>
          <w:sz w:val="21"/>
          <w:szCs w:val="21"/>
        </w:rPr>
        <w:t>，揭示了感觉输入异常驱动外周代谢失衡的关键环路，为代谢疾病</w:t>
      </w:r>
      <w:r>
        <w:rPr>
          <w:rFonts w:hint="eastAsia" w:ascii="Times New Roman" w:hAnsi="Times New Roman" w:eastAsia="宋体" w:cs="Times New Roman"/>
          <w:sz w:val="21"/>
          <w:szCs w:val="21"/>
          <w:lang w:val="en-US" w:eastAsia="zh-CN"/>
        </w:rPr>
        <w:t>的节律性</w:t>
      </w:r>
      <w:r>
        <w:rPr>
          <w:rFonts w:hint="eastAsia" w:ascii="Times New Roman" w:hAnsi="Times New Roman" w:eastAsia="宋体" w:cs="Times New Roman"/>
          <w:sz w:val="21"/>
          <w:szCs w:val="21"/>
        </w:rPr>
        <w:t>干预提供新策略【Cell, 2023】</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rPr>
        <w:t>针对脑-肠互作紊乱，解析了节食经历联合压力刺激通过特定神经环路改变肠道菌群组成及其代谢产物的机制，揭示了由此引发暴饮暴食行为的脑体互作失衡，为干预饮食行为障碍提供新靶点【Cell Metabolism, 2023】；针对脑-运动系统互作紊乱，阐明了酒精和大麻协同作用通过影响中枢血脑屏障功能导致运动失调的分子机制及关键靶点，为开发基于血脑屏障调控的干预策略提供依据【Nature Metabolism, 2022】；</w:t>
      </w:r>
    </w:p>
    <w:bookmarkEnd w:id="3"/>
    <w:p w14:paraId="25C70FE4">
      <w:pPr>
        <w:numPr>
          <w:ilvl w:val="0"/>
          <w:numId w:val="1"/>
        </w:numPr>
        <w:spacing w:line="360" w:lineRule="exact"/>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脑体互作紊乱关键介质的检测技术平台与转化应用：针对脑体互作紊乱关键介质检测</w:t>
      </w:r>
      <w:r>
        <w:rPr>
          <w:rFonts w:hint="eastAsia" w:ascii="Times New Roman" w:hAnsi="Times New Roman" w:eastAsia="宋体" w:cs="Times New Roman"/>
          <w:color w:val="auto"/>
          <w:sz w:val="21"/>
          <w:szCs w:val="21"/>
        </w:rPr>
        <w:t>分辨率不足的瓶颈，自主开发了服务于机制解析的多尺度代谢组学技术平台，包括单细胞代</w:t>
      </w:r>
      <w:r>
        <w:rPr>
          <w:rFonts w:hint="eastAsia" w:ascii="Times New Roman" w:hAnsi="Times New Roman" w:eastAsia="宋体" w:cs="Times New Roman"/>
          <w:sz w:val="21"/>
          <w:szCs w:val="21"/>
        </w:rPr>
        <w:t>谢组【PNAS, 2017】、单细胞器代谢组【Nature Methods, 2021】、人工智能辅助快速高分辨空间代谢组技术等【Nature Machine Intelligence, 2023】。基于上述平台对代谢调控机制的解析，开发了基于代谢重编程的免疫细胞治疗技术，并转化成立安徽科丞智能健康科技有限责任公司，旨在推动脑体互作紊乱的干预策略转化，公司已完成种子轮9000万元融资，入选国家高新技术企业、科技型中小企业及安徽省企业研发中心。目前正在中科大附属第一医院开展新辅助治疗晚期上皮性卵巢癌的临床研究，探索从神经-代谢-免疫交叉视角干预肿瘤及相关脑功能障碍的脑体互作新策略。该平台亦获2024年合肥市科技攻关“揭榜挂帅”项目支持，将持续为脑体互作相关疾病的机制解析、精准诊断与靶向干预提供核心技术支撑。</w:t>
      </w:r>
    </w:p>
    <w:bookmarkEnd w:id="4"/>
    <w:p w14:paraId="3AEC1A31">
      <w:pPr>
        <w:numPr>
          <w:ilvl w:val="0"/>
          <w:numId w:val="1"/>
        </w:numPr>
        <w:spacing w:line="360" w:lineRule="exact"/>
        <w:rPr>
          <w:rFonts w:hint="default" w:ascii="Times New Roman" w:hAnsi="Times New Roman" w:eastAsia="宋体" w:cs="Times New Roman"/>
          <w:sz w:val="24"/>
          <w:szCs w:val="24"/>
        </w:rPr>
      </w:pPr>
      <w:r>
        <w:rPr>
          <w:rFonts w:hint="default" w:ascii="Times New Roman" w:hAnsi="Times New Roman" w:eastAsia="宋体" w:cs="Times New Roman"/>
          <w:sz w:val="21"/>
          <w:szCs w:val="21"/>
        </w:rPr>
        <w:t>上述成果入选2018</w:t>
      </w:r>
      <w:r>
        <w:rPr>
          <w:rFonts w:hint="eastAsia" w:ascii="Times New Roman" w:hAnsi="Times New Roman" w:eastAsia="宋体" w:cs="Times New Roman"/>
          <w:sz w:val="21"/>
          <w:szCs w:val="21"/>
          <w:lang w:val="en-US" w:eastAsia="zh-CN"/>
        </w:rPr>
        <w:t>及2023</w:t>
      </w:r>
      <w:r>
        <w:rPr>
          <w:rFonts w:hint="default" w:ascii="Times New Roman" w:hAnsi="Times New Roman" w:eastAsia="宋体" w:cs="Times New Roman"/>
          <w:sz w:val="21"/>
          <w:szCs w:val="21"/>
        </w:rPr>
        <w:t>年度“中国生命科学十大进展”</w:t>
      </w:r>
      <w:r>
        <w:rPr>
          <w:rFonts w:hint="eastAsia" w:ascii="Times New Roman" w:hAnsi="Times New Roman" w:eastAsia="宋体" w:cs="Times New Roman"/>
          <w:sz w:val="21"/>
          <w:szCs w:val="21"/>
        </w:rPr>
        <w:t>， 获授权中国发明专利7项。5篇代表性论文（Cell，</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篇；Nature</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rPr>
        <w:t>Methods，1篇；Cell</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rPr>
        <w:t>Metabolism，1篇；Nature</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rPr>
        <w:t>Metabolism，</w:t>
      </w:r>
      <w:r>
        <w:rPr>
          <w:rFonts w:hint="default" w:ascii="Times New Roman" w:hAnsi="Times New Roman" w:eastAsia="宋体" w:cs="Times New Roman"/>
          <w:sz w:val="21"/>
          <w:szCs w:val="21"/>
        </w:rPr>
        <w:t>1</w:t>
      </w:r>
      <w:r>
        <w:rPr>
          <w:rFonts w:hint="eastAsia" w:ascii="Times New Roman" w:hAnsi="Times New Roman" w:eastAsia="宋体" w:cs="Times New Roman"/>
          <w:sz w:val="21"/>
          <w:szCs w:val="21"/>
        </w:rPr>
        <w:t>篇）均影响因子为</w:t>
      </w:r>
      <w:r>
        <w:rPr>
          <w:rFonts w:hint="eastAsia" w:ascii="Times New Roman" w:hAnsi="Times New Roman" w:eastAsia="宋体" w:cs="Times New Roman"/>
          <w:sz w:val="21"/>
          <w:szCs w:val="21"/>
          <w:lang w:val="en-US" w:eastAsia="zh-CN"/>
        </w:rPr>
        <w:t>34.76</w:t>
      </w:r>
      <w:r>
        <w:rPr>
          <w:rFonts w:hint="eastAsia" w:ascii="Times New Roman" w:hAnsi="Times New Roman" w:eastAsia="宋体" w:cs="Times New Roman"/>
          <w:sz w:val="21"/>
          <w:szCs w:val="21"/>
        </w:rPr>
        <w:t>。</w:t>
      </w:r>
      <w:r>
        <w:rPr>
          <w:rFonts w:hint="default" w:ascii="Times New Roman" w:hAnsi="Times New Roman" w:eastAsia="宋体" w:cs="Times New Roman"/>
          <w:sz w:val="21"/>
          <w:szCs w:val="21"/>
        </w:rPr>
        <w:t>项目培养国家杰青</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人，国家优青</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人、</w:t>
      </w:r>
      <w:bookmarkStart w:id="5" w:name="OLE_LINK3"/>
      <w:r>
        <w:rPr>
          <w:rFonts w:hint="default" w:ascii="Times New Roman" w:hAnsi="Times New Roman" w:eastAsia="宋体" w:cs="Times New Roman"/>
          <w:sz w:val="21"/>
          <w:szCs w:val="21"/>
        </w:rPr>
        <w:t>安徽省</w:t>
      </w:r>
      <w:r>
        <w:rPr>
          <w:rFonts w:hint="eastAsia" w:ascii="Times New Roman" w:hAnsi="Times New Roman" w:eastAsia="宋体" w:cs="Times New Roman"/>
          <w:sz w:val="21"/>
          <w:szCs w:val="21"/>
          <w:lang w:val="en-US" w:eastAsia="zh-CN"/>
        </w:rPr>
        <w:t>自然科学一等</w:t>
      </w:r>
      <w:r>
        <w:rPr>
          <w:rFonts w:hint="default" w:ascii="Times New Roman" w:hAnsi="Times New Roman" w:eastAsia="宋体" w:cs="Times New Roman"/>
          <w:sz w:val="21"/>
          <w:szCs w:val="21"/>
        </w:rPr>
        <w:t>奖</w:t>
      </w:r>
      <w:bookmarkEnd w:id="5"/>
      <w:r>
        <w:rPr>
          <w:rFonts w:hint="default" w:ascii="Times New Roman" w:hAnsi="Times New Roman" w:eastAsia="宋体" w:cs="Times New Roman"/>
          <w:sz w:val="21"/>
          <w:szCs w:val="21"/>
        </w:rPr>
        <w:t>2人、张香桐</w:t>
      </w:r>
      <w:r>
        <w:rPr>
          <w:rFonts w:hint="eastAsia" w:ascii="Times New Roman" w:hAnsi="Times New Roman" w:eastAsia="宋体" w:cs="Times New Roman"/>
          <w:sz w:val="21"/>
          <w:szCs w:val="21"/>
          <w:lang w:val="en-US" w:eastAsia="zh-CN"/>
        </w:rPr>
        <w:t>神经科学</w:t>
      </w:r>
      <w:r>
        <w:rPr>
          <w:rFonts w:hint="default" w:ascii="Times New Roman" w:hAnsi="Times New Roman" w:eastAsia="宋体" w:cs="Times New Roman"/>
          <w:sz w:val="21"/>
          <w:szCs w:val="21"/>
        </w:rPr>
        <w:t>青年科学家奖2人、国家高层次人才特殊支持计划科技创新领军人才</w:t>
      </w:r>
      <w:r>
        <w:rPr>
          <w:rFonts w:hint="eastAsia" w:ascii="Times New Roman" w:hAnsi="Times New Roman" w:eastAsia="宋体" w:cs="Times New Roman"/>
          <w:sz w:val="21"/>
          <w:szCs w:val="21"/>
          <w:lang w:val="en-US" w:eastAsia="zh-CN"/>
        </w:rPr>
        <w:t>1人</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新基石研究员1人、科学探索奖、唐立新优秀学者奖、</w:t>
      </w:r>
      <w:r>
        <w:rPr>
          <w:rFonts w:hint="default" w:ascii="Times New Roman" w:hAnsi="Times New Roman" w:eastAsia="宋体" w:cs="Times New Roman"/>
          <w:sz w:val="21"/>
          <w:szCs w:val="21"/>
        </w:rPr>
        <w:t>中科院院长特别奖、中科大杰出研究校长奖、“</w:t>
      </w:r>
      <w:r>
        <w:rPr>
          <w:rFonts w:hint="eastAsia" w:ascii="Times New Roman" w:hAnsi="Times New Roman" w:eastAsia="宋体" w:cs="Times New Roman"/>
          <w:sz w:val="21"/>
          <w:szCs w:val="21"/>
        </w:rPr>
        <w:t>中科院优秀导师</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rPr>
        <w:t xml:space="preserve"> 等多个重要奖项</w:t>
      </w:r>
      <w:r>
        <w:rPr>
          <w:rFonts w:hint="default" w:ascii="Times New Roman" w:hAnsi="Times New Roman" w:eastAsia="宋体" w:cs="Times New Roman"/>
          <w:sz w:val="21"/>
          <w:szCs w:val="21"/>
        </w:rPr>
        <w:t>。</w:t>
      </w:r>
    </w:p>
    <w:p w14:paraId="143126A8">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b/>
          <w:color w:val="auto"/>
          <w:sz w:val="28"/>
          <w:szCs w:val="28"/>
          <w:lang w:val="en-US" w:eastAsia="zh-CN"/>
        </w:rPr>
      </w:pPr>
      <w:r>
        <w:rPr>
          <w:rFonts w:hint="eastAsia"/>
          <w:b/>
          <w:color w:val="auto"/>
          <w:sz w:val="28"/>
          <w:szCs w:val="28"/>
          <w:lang w:val="en-US" w:eastAsia="zh-CN"/>
        </w:rPr>
        <w:t>代表性论文目录</w:t>
      </w:r>
    </w:p>
    <w:p w14:paraId="08D15B2A">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b/>
          <w:color w:val="auto"/>
          <w:sz w:val="28"/>
          <w:szCs w:val="28"/>
          <w:lang w:val="en-US" w:eastAsia="zh-CN"/>
        </w:rPr>
      </w:pPr>
    </w:p>
    <w:p w14:paraId="466E896A">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Hongying Zhu</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Ning Wang</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xml:space="preserve">, Lei Yao, Qi Chen, Ran Zhang, Junchao Qian, Yiwen Hou, Weiwei Guo, Sijia Fan, Siling Liu, Qiaoyun Zhao, Feng Du, Xin Zuo, Yujun Guo, Yan Xu, Jiali Li, Tian Xue, Kai Zhong, Xiaoyuan Song, Guangming Huang*, Wei Xiong*. Moderate UV exposure enhances learning and memory by promoting a novel glutamate biosynthetic pathway in the brain. </w:t>
      </w:r>
      <w:r>
        <w:rPr>
          <w:rFonts w:ascii="Times New Roman" w:hAnsi="Times New Roman"/>
          <w:b w:val="0"/>
          <w:bCs w:val="0"/>
          <w:i/>
          <w:color w:val="auto"/>
          <w:sz w:val="21"/>
          <w:szCs w:val="21"/>
        </w:rPr>
        <w:t>Cell</w:t>
      </w:r>
      <w:r>
        <w:rPr>
          <w:rFonts w:ascii="Times New Roman" w:hAnsi="Times New Roman"/>
          <w:b w:val="0"/>
          <w:bCs w:val="0"/>
          <w:color w:val="auto"/>
          <w:sz w:val="21"/>
          <w:szCs w:val="21"/>
        </w:rPr>
        <w:t>, 173, 1716-1727 (2018)</w:t>
      </w:r>
      <w:r>
        <w:rPr>
          <w:rFonts w:hint="eastAsia" w:ascii="Times New Roman" w:hAnsi="Times New Roman"/>
          <w:b w:val="0"/>
          <w:bCs w:val="0"/>
          <w:color w:val="auto"/>
          <w:sz w:val="21"/>
          <w:szCs w:val="21"/>
          <w:lang w:val="en-US" w:eastAsia="zh-CN"/>
        </w:rPr>
        <w:t>.</w:t>
      </w:r>
    </w:p>
    <w:p w14:paraId="01F000CF">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hint="default" w:ascii="Times New Roman" w:hAnsi="Times New Roman"/>
          <w:b w:val="0"/>
          <w:bCs w:val="0"/>
          <w:color w:val="auto"/>
          <w:sz w:val="21"/>
          <w:szCs w:val="21"/>
        </w:rPr>
      </w:pP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"https://pubmed.ncbi.nlm.nih.gov/?term=Hu+J&amp;cauthor_id=35944541"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Jiaxi Hu</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"https://pubmed.ncbi.nlm.nih.gov/?term=Shi+Y&amp;cauthor_id=35944541"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Yiming Shi</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"https://pubmed.ncbi.nlm.nih.gov/?term=Zhang+J&amp;cauthor_id=35944541"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Jiaming Zhang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"https://pubmed.ncbi.nlm.nih.gov/?term=Huang+X&amp;cauthor_id=35944541"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Xinfeng Huang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"https://pubmed.ncbi.nlm.nih.gov/?term=Wang+Q&amp;cauthor_id=35944541"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Qian Wang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"https://pubmed.ncbi.nlm.nih.gov/?term=Zhao+H&amp;cauthor_id=35944541"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Hang Zhao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"https://pubmed.ncbi.nlm.nih.gov/?term=Shen+J&amp;cauthor_id=35944541"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Jiawei Shen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"https://pubmed.ncbi.nlm.nih.gov/?term=Chen+Z&amp;cauthor_id=35944541"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Zhiping Chen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"https://pubmed.ncbi.nlm.nih.gov/?term=Song+W&amp;cauthor_id=35944541"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Wei Song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"https://pubmed.ncbi.nlm.nih.gov/?term=Zheng+P&amp;cauthor_id=35944541"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Ping Zheng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"https://pubmed.ncbi.nlm.nih.gov/?term=Zhan+S&amp;cauthor_id=35944541"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Shulu Zhan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"https://pubmed.ncbi.nlm.nih.gov/?term=Sun+Y&amp;cauthor_id=35944541"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Yanping Sun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"https://pubmed.ncbi.nlm.nih.gov/?term=Cai+P&amp;cauthor_id=35944541"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Pengfei Cai</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"https://pubmed.ncbi.nlm.nih.gov/?term=An+K&amp;cauthor_id=35944541"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Kai An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"https://pubmed.ncbi.nlm.nih.gov/?term=Ouyang+C&amp;cauthor_id=35944541"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Changjie Ouyang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"https://pubmed.ncbi.nlm.nih.gov/?term=Zhao+B&amp;cauthor_id=35944541"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Baizhen Zhao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"https://pubmed.ncbi.nlm.nih.gov/?term=Zhou+Q&amp;cauthor_id=35944541"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Qixin Zhou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"https://pubmed.ncbi.nlm.nih.gov/?term=Xu+L&amp;cauthor_id=35944541"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Lin Xu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"https://pubmed.ncbi.nlm.nih.gov/?term=Xiong+W&amp;cauthor_id=35944541"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Wei Xiong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"https://pubmed.ncbi.nlm.nih.gov/?term=Zhang+Z&amp;cauthor_id=35944541"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Zhi Zhang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"https://pubmed.ncbi.nlm.nih.gov/?term=Meng+J&amp;cauthor_id=35944541"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Jianjun Meng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"https://pubmed.ncbi.nlm.nih.gov/?term=Chen+J&amp;cauthor_id=35944541"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Jutao Chen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"https://pubmed.ncbi.nlm.nih.gov/?term=Ma+Y&amp;cauthor_id=35944541"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Yuqian Ma</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"https://pubmed.ncbi.nlm.nih.gov/?term=Zhao+H&amp;cauthor_id=35944541"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Huan Zhao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"https://pubmed.ncbi.nlm.nih.gov/?term=Zhang+M&amp;cauthor_id=35944541"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Mei Zhang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"https://pubmed.ncbi.nlm.nih.gov/?term=Qu+K&amp;cauthor_id=35944541"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Kun Qu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"https://pubmed.ncbi.nlm.nih.gov/?term=Hu+J&amp;cauthor_id=35944541"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 Hu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"https://pubmed.ncbi.nlm.nih.gov/?term=Luo+M&amp;cauthor_id=35944541"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Minhua Luo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"https://pubmed.ncbi.nlm.nih.gov/?term=Xu+F&amp;cauthor_id=35944541"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Fuqiang Xu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"https://pubmed.ncbi.nlm.nih.gov/?term=Chen+X&amp;cauthor_id=35944541"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Xiaowei Chen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"https://pubmed.ncbi.nlm.nih.gov/?term=Xiong+Y&amp;cauthor_id=35944541"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Ying Xiong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"https://pubmed.ncbi.nlm.nih.gov/?term=Bao+J&amp;cauthor_id=35944541"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Jin Bao</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"https://pubmed.ncbi.nlm.nih.gov/?term=Xue+T&amp;cauthor_id=35944541"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Tian Xue</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w:t>
      </w:r>
      <w:r>
        <w:rPr>
          <w:rFonts w:hint="eastAsia" w:ascii="Times New Roman" w:hAnsi="Times New Roman"/>
          <w:b w:val="0"/>
          <w:bCs w:val="0"/>
          <w:color w:val="auto"/>
          <w:sz w:val="21"/>
          <w:szCs w:val="21"/>
          <w:lang w:val="en-US" w:eastAsia="zh-CN"/>
        </w:rPr>
        <w:t xml:space="preserve"> </w:t>
      </w:r>
      <w:r>
        <w:rPr>
          <w:rFonts w:hint="default" w:ascii="Times New Roman" w:hAnsi="Times New Roman"/>
          <w:b w:val="0"/>
          <w:bCs w:val="0"/>
          <w:color w:val="auto"/>
          <w:sz w:val="21"/>
          <w:szCs w:val="21"/>
        </w:rPr>
        <w:t>Melanopsin retinal ganglion cells mediate light-promoted brain development. </w:t>
      </w:r>
      <w:r>
        <w:rPr>
          <w:rFonts w:hint="default" w:ascii="Times New Roman" w:hAnsi="Times New Roman"/>
          <w:b w:val="0"/>
          <w:bCs w:val="0"/>
          <w:i/>
          <w:iCs/>
          <w:color w:val="auto"/>
          <w:sz w:val="21"/>
          <w:szCs w:val="21"/>
        </w:rPr>
        <w:t>Cell</w:t>
      </w:r>
      <w:r>
        <w:rPr>
          <w:rFonts w:hint="default" w:ascii="Times New Roman" w:hAnsi="Times New Roman"/>
          <w:b w:val="0"/>
          <w:bCs w:val="0"/>
          <w:color w:val="auto"/>
          <w:sz w:val="21"/>
          <w:szCs w:val="21"/>
        </w:rPr>
        <w:t xml:space="preserve">, 185(17), 3124–3137.e15. (2022). </w:t>
      </w:r>
    </w:p>
    <w:p w14:paraId="49417029">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"https://pubmed.ncbi.nlm.nih.gov/?term=Meng+JJ&amp;cauthor_id=36669474"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Jian-Jun Meng</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"https://pubmed.ncbi.nlm.nih.gov/?term=Shen+JW&amp;cauthor_id=36669474"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Jia-Wei Shen</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"https://pubmed.ncbi.nlm.nih.gov/?term=Li+G&amp;cauthor_id=36669474"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Guang Li</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"https://pubmed.ncbi.nlm.nih.gov/?term=Ouyang+CJ&amp;cauthor_id=36669474"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Chang-Jie Ouyang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"https://pubmed.ncbi.nlm.nih.gov/?term=Hu+JX&amp;cauthor_id=36669474"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Jia-Xi Hu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"https://pubmed.ncbi.nlm.nih.gov/?term=Li+ZS&amp;cauthor_id=36669474"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Zi-Shuo Li</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"https://pubmed.ncbi.nlm.nih.gov/?term=Zhao+H&amp;cauthor_id=36669474"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Hang Zhao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"https://pubmed.ncbi.nlm.nih.gov/?term=Shi+YM&amp;cauthor_id=36669474"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Yi-Ming Shi</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"https://pubmed.ncbi.nlm.nih.gov/?term=Zhang+M&amp;cauthor_id=36669474"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M</w:t>
      </w:r>
      <w:r>
        <w:rPr>
          <w:rFonts w:hint="eastAsia" w:ascii="Times New Roman" w:hAnsi="Times New Roman"/>
          <w:b w:val="0"/>
          <w:bCs w:val="0"/>
          <w:color w:val="auto"/>
          <w:sz w:val="21"/>
          <w:szCs w:val="21"/>
          <w:lang w:val="en-US" w:eastAsia="zh-CN"/>
        </w:rPr>
        <w:t xml:space="preserve">   n  </w:t>
      </w:r>
      <w:r>
        <w:rPr>
          <w:rFonts w:hint="default" w:ascii="Times New Roman" w:hAnsi="Times New Roman"/>
          <w:b w:val="0"/>
          <w:bCs w:val="0"/>
          <w:color w:val="auto"/>
          <w:sz w:val="21"/>
          <w:szCs w:val="21"/>
        </w:rPr>
        <w:t>ei Zhang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"https://pubmed.ncbi.nlm.nih.gov/?term=Liu+R&amp;cauthor_id=36669474"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Rong Liu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"https://pubmed.ncbi.nlm.nih.gov/?term=Chen+JT&amp;cauthor_id=36669474"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Ju-Tao Chen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"https://pubmed.ncbi.nlm.nih.gov/?term=Ma+YQ&amp;cauthor_id=36669474"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Yu-Qian Ma</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"https://pubmed.ncbi.nlm.nih.gov/?term=Zhao+H&amp;cauthor_id=36669474"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Huan Zhao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"https://pubmed.ncbi.nlm.nih.gov/?term=Xue+T&amp;cauthor_id=36669474"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Tian Xue</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w:t>
      </w:r>
      <w:r>
        <w:rPr>
          <w:rFonts w:hint="eastAsia" w:ascii="Times New Roman" w:hAnsi="Times New Roman"/>
          <w:b w:val="0"/>
          <w:bCs w:val="0"/>
          <w:color w:val="auto"/>
          <w:sz w:val="21"/>
          <w:szCs w:val="21"/>
          <w:lang w:val="en-US" w:eastAsia="zh-CN"/>
        </w:rPr>
        <w:t xml:space="preserve"> </w:t>
      </w:r>
      <w:r>
        <w:rPr>
          <w:rFonts w:hint="default" w:ascii="Times New Roman" w:hAnsi="Times New Roman"/>
          <w:b w:val="0"/>
          <w:bCs w:val="0"/>
          <w:color w:val="auto"/>
          <w:sz w:val="21"/>
          <w:szCs w:val="21"/>
        </w:rPr>
        <w:t>Light modulates glucose metabolism by a retina-hypothalamus-brown adipose tissue axis. </w:t>
      </w:r>
      <w:r>
        <w:rPr>
          <w:rFonts w:hint="default" w:ascii="Times New Roman" w:hAnsi="Times New Roman"/>
          <w:b w:val="0"/>
          <w:bCs w:val="0"/>
          <w:i/>
          <w:iCs/>
          <w:color w:val="auto"/>
          <w:sz w:val="21"/>
          <w:szCs w:val="21"/>
        </w:rPr>
        <w:t>Cell</w:t>
      </w:r>
      <w:r>
        <w:rPr>
          <w:rFonts w:hint="default" w:ascii="Times New Roman" w:hAnsi="Times New Roman"/>
          <w:b w:val="0"/>
          <w:bCs w:val="0"/>
          <w:color w:val="auto"/>
          <w:sz w:val="21"/>
          <w:szCs w:val="21"/>
        </w:rPr>
        <w:t xml:space="preserve">, 186(2), 398–412.e17. (2023). </w:t>
      </w:r>
    </w:p>
    <w:p w14:paraId="6C0C4724">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Hongying Zhu</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Qianqian Li</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Tiepeng Liao</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xml:space="preserve">, Xiang Yin, Qi Chen, Ziyi Wang, Meifang Dai, Lin Yi, Siyuan Ge, Chenjian Miao, Wenping Zeng, Lili Qu, Zhenyu Ju, Guangming Huang, Chunlei Cang*, Wei Xiong*. Metabolomic profiling of single enlarged lysosomes. </w:t>
      </w:r>
      <w:r>
        <w:rPr>
          <w:rFonts w:ascii="Times New Roman" w:hAnsi="Times New Roman"/>
          <w:b w:val="0"/>
          <w:bCs w:val="0"/>
          <w:i/>
          <w:color w:val="auto"/>
          <w:sz w:val="21"/>
          <w:szCs w:val="21"/>
        </w:rPr>
        <w:t>Nature Methods</w:t>
      </w:r>
      <w:r>
        <w:rPr>
          <w:rFonts w:ascii="Times New Roman" w:hAnsi="Times New Roman"/>
          <w:b w:val="0"/>
          <w:bCs w:val="0"/>
          <w:color w:val="auto"/>
          <w:sz w:val="21"/>
          <w:szCs w:val="21"/>
        </w:rPr>
        <w:t>, 18(7):788-798 (2021).</w:t>
      </w:r>
    </w:p>
    <w:p w14:paraId="4626DD90">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Sijia Fan</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Weiwei Guo</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Dan Xiao, Mengyuan Guan, Tiepeng Liao, Sufang Peng, Airong Feng, Ziyi Wang, Hao Yin, Min Li*, Jue Chen*, Wei Xiong*. Microbiota-Gut-Brain Axis Drives Overeating Disorders.</w:t>
      </w:r>
      <w:r>
        <w:rPr>
          <w:rFonts w:ascii="Times New Roman" w:hAnsi="Times New Roman"/>
          <w:b w:val="0"/>
          <w:bCs w:val="0"/>
          <w:i/>
          <w:color w:val="auto"/>
          <w:sz w:val="21"/>
          <w:szCs w:val="21"/>
        </w:rPr>
        <w:t xml:space="preserve"> Cell Metabolism</w:t>
      </w:r>
      <w:r>
        <w:rPr>
          <w:rFonts w:ascii="Times New Roman" w:hAnsi="Times New Roman"/>
          <w:b w:val="0"/>
          <w:bCs w:val="0"/>
          <w:color w:val="auto"/>
          <w:sz w:val="21"/>
          <w:szCs w:val="21"/>
        </w:rPr>
        <w:t>, 35(11):2011-2027.e7. (2023)</w:t>
      </w:r>
      <w:r>
        <w:rPr>
          <w:rFonts w:hint="eastAsia" w:ascii="Times New Roman" w:hAnsi="Times New Roman"/>
          <w:b w:val="0"/>
          <w:bCs w:val="0"/>
          <w:color w:val="auto"/>
          <w:sz w:val="21"/>
          <w:szCs w:val="21"/>
          <w:lang w:val="en-US" w:eastAsia="zh-CN"/>
        </w:rPr>
        <w:t>.</w:t>
      </w:r>
    </w:p>
    <w:p w14:paraId="174AE5FE">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Guichang Zou</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Jing Xia</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xml:space="preserve">, Heyi Luo, Dan Xiao, Jin Jin, Chenjian Miao, Xin Zuo, Qianqian Gao, Zhi Zhang, Tian Xue, Yezi You, Ye Zhang, Li Zhang, Wei Xiong*. Combined alcohol and cannabinoid exposure leads to synergistic toxicity by affecting cerebellar Purkinje cells. </w:t>
      </w:r>
      <w:r>
        <w:rPr>
          <w:rFonts w:ascii="Times New Roman" w:hAnsi="Times New Roman"/>
          <w:b w:val="0"/>
          <w:bCs w:val="0"/>
          <w:i/>
          <w:color w:val="auto"/>
          <w:sz w:val="21"/>
          <w:szCs w:val="21"/>
        </w:rPr>
        <w:t>Nature Metabolism</w:t>
      </w:r>
      <w:r>
        <w:rPr>
          <w:rFonts w:ascii="Times New Roman" w:hAnsi="Times New Roman"/>
          <w:b w:val="0"/>
          <w:bCs w:val="0"/>
          <w:color w:val="auto"/>
          <w:sz w:val="21"/>
          <w:szCs w:val="21"/>
        </w:rPr>
        <w:t>, 4(9):1138–1149</w:t>
      </w:r>
      <w:r>
        <w:rPr>
          <w:rFonts w:ascii="Times New Roman" w:hAnsi="Times New Roman"/>
          <w:b w:val="0"/>
          <w:bCs w:val="0"/>
          <w:color w:val="auto"/>
          <w:sz w:val="21"/>
          <w:szCs w:val="21"/>
          <w:shd w:val="clear" w:color="auto" w:fill="FFFFFF"/>
        </w:rPr>
        <w:t xml:space="preserve"> (2022)</w:t>
      </w:r>
      <w:r>
        <w:rPr>
          <w:rFonts w:hint="eastAsia" w:ascii="Times New Roman" w:hAnsi="Times New Roman"/>
          <w:b w:val="0"/>
          <w:bCs w:val="0"/>
          <w:color w:val="auto"/>
          <w:sz w:val="21"/>
          <w:szCs w:val="21"/>
          <w:shd w:val="clear" w:color="auto" w:fill="FFFFFF"/>
          <w:lang w:val="en-US" w:eastAsia="zh-CN"/>
        </w:rPr>
        <w:t>.</w:t>
      </w:r>
    </w:p>
    <w:p w14:paraId="273357C0">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 xml:space="preserve">Tiepeng Liao, Zihao Ren, Zhaoliang Chai, Man Yuan, Chenjian Miao, Junjie Li, Qi Chen, Zhilin Li, Ziyi Wang, Lin Yi, Siyuan Ge, Wenwei Qian, Zilei Wang, Wei Xiong*, Hongying Zhu*. A super-resolution strategy for mass spectrometry imaging via transfer learning. </w:t>
      </w:r>
      <w:r>
        <w:rPr>
          <w:rFonts w:ascii="Times New Roman" w:hAnsi="Times New Roman"/>
          <w:b w:val="0"/>
          <w:bCs w:val="0"/>
          <w:i/>
          <w:color w:val="auto"/>
          <w:sz w:val="21"/>
          <w:szCs w:val="21"/>
        </w:rPr>
        <w:t>Nature Machine Intelligence</w:t>
      </w:r>
      <w:r>
        <w:rPr>
          <w:rFonts w:ascii="Times New Roman" w:hAnsi="Times New Roman"/>
          <w:b w:val="0"/>
          <w:bCs w:val="0"/>
          <w:color w:val="auto"/>
          <w:sz w:val="21"/>
          <w:szCs w:val="21"/>
        </w:rPr>
        <w:t>, 5: 656–668 (2023)</w:t>
      </w:r>
      <w:r>
        <w:rPr>
          <w:rFonts w:hint="eastAsia" w:ascii="Times New Roman" w:hAnsi="Times New Roman"/>
          <w:b w:val="0"/>
          <w:bCs w:val="0"/>
          <w:color w:val="auto"/>
          <w:sz w:val="21"/>
          <w:szCs w:val="21"/>
          <w:lang w:val="en-US" w:eastAsia="zh-CN"/>
        </w:rPr>
        <w:t>.</w:t>
      </w:r>
    </w:p>
    <w:p w14:paraId="34A58AB7">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Weiwei Guo</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Sijia Fan</w:t>
      </w:r>
      <w:r>
        <w:rPr>
          <w:rFonts w:ascii="Times New Roman" w:hAnsi="Times New Roman"/>
          <w:b w:val="0"/>
          <w:bCs w:val="0"/>
          <w:color w:val="auto"/>
          <w:sz w:val="21"/>
          <w:szCs w:val="21"/>
          <w:vertAlign w:val="superscript"/>
        </w:rPr>
        <w:t>#</w:t>
      </w:r>
      <w:r>
        <w:rPr>
          <w:rFonts w:ascii="Times New Roman" w:hAnsi="Times New Roman"/>
          <w:b w:val="0"/>
          <w:bCs w:val="0"/>
          <w:color w:val="auto"/>
          <w:sz w:val="21"/>
          <w:szCs w:val="21"/>
        </w:rPr>
        <w:t xml:space="preserve">, Dan Xiao, Hui Dong, Guangwei Xu, Zhikun Wan, Yuqian Ma, Zhen Wang, Tian Xue, Yifeng Zhou, Yulong Li, Wei Xiong*. A Brainstem reticulotegmental neural ensemble drives acoustic startle reflexes. </w:t>
      </w:r>
      <w:r>
        <w:rPr>
          <w:rFonts w:ascii="Times New Roman" w:hAnsi="Times New Roman"/>
          <w:b w:val="0"/>
          <w:bCs w:val="0"/>
          <w:i/>
          <w:color w:val="auto"/>
          <w:sz w:val="21"/>
          <w:szCs w:val="21"/>
        </w:rPr>
        <w:t>Nature Communications</w:t>
      </w:r>
      <w:r>
        <w:rPr>
          <w:rFonts w:ascii="Times New Roman" w:hAnsi="Times New Roman"/>
          <w:b w:val="0"/>
          <w:bCs w:val="0"/>
          <w:color w:val="auto"/>
          <w:sz w:val="21"/>
          <w:szCs w:val="21"/>
        </w:rPr>
        <w:t>, 12, 6403 (2021)</w:t>
      </w:r>
      <w:r>
        <w:rPr>
          <w:rFonts w:hint="eastAsia" w:ascii="Times New Roman" w:hAnsi="Times New Roman"/>
          <w:b w:val="0"/>
          <w:bCs w:val="0"/>
          <w:color w:val="auto"/>
          <w:sz w:val="21"/>
          <w:szCs w:val="21"/>
          <w:lang w:val="en-US" w:eastAsia="zh-CN"/>
        </w:rPr>
        <w:t>.</w:t>
      </w:r>
    </w:p>
    <w:p w14:paraId="12ABBA28">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t xml:space="preserve">Yiwen Hou, Guichang Zou, Xianglian Wang, Hui Guo, Xiao Ma, Xingyu Cheng, Zhiyong Xie, Xin Zuo, Jing Xia, Huanhuan Mao, Man Yuan, Qi Chen, Peng Cao, Yupeng Yang, Li Zhang, Wei Xiong*. Coordinated activity of a central pathway drives associative opioid analgesic tolerance. </w:t>
      </w:r>
      <w:r>
        <w:rPr>
          <w:rFonts w:ascii="Times New Roman" w:hAnsi="Times New Roman"/>
          <w:b w:val="0"/>
          <w:bCs w:val="0"/>
          <w:i/>
          <w:color w:val="auto"/>
          <w:sz w:val="21"/>
          <w:szCs w:val="21"/>
        </w:rPr>
        <w:t>Science Advances</w:t>
      </w:r>
      <w:r>
        <w:rPr>
          <w:rFonts w:ascii="Times New Roman" w:hAnsi="Times New Roman"/>
          <w:b w:val="0"/>
          <w:bCs w:val="0"/>
          <w:color w:val="auto"/>
          <w:sz w:val="21"/>
          <w:szCs w:val="21"/>
        </w:rPr>
        <w:t>, 9(6):eabo5627 (2023).</w:t>
      </w:r>
    </w:p>
    <w:p w14:paraId="54CED5A3">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280" w:lineRule="exact"/>
        <w:ind w:left="420" w:hanging="420" w:firstLineChars="0"/>
        <w:textAlignment w:val="auto"/>
        <w:rPr>
          <w:rFonts w:ascii="Times New Roman" w:hAnsi="Times New Roman"/>
          <w:b w:val="0"/>
          <w:bCs w:val="0"/>
          <w:color w:val="auto"/>
          <w:sz w:val="21"/>
          <w:szCs w:val="21"/>
        </w:rPr>
      </w:pPr>
      <w:r>
        <w:rPr>
          <w:rFonts w:ascii="Times New Roman" w:hAnsi="Times New Roman"/>
          <w:b w:val="0"/>
          <w:bCs w:val="0"/>
          <w:color w:val="auto"/>
          <w:sz w:val="21"/>
          <w:szCs w:val="21"/>
        </w:rPr>
        <w:fldChar w:fldCharType="begin"/>
      </w:r>
      <w:r>
        <w:rPr>
          <w:rFonts w:ascii="Times New Roman" w:hAnsi="Times New Roman"/>
          <w:b w:val="0"/>
          <w:bCs w:val="0"/>
          <w:color w:val="auto"/>
          <w:sz w:val="21"/>
          <w:szCs w:val="21"/>
        </w:rPr>
        <w:instrText xml:space="preserve"> HYPERLINK "https://pubmed.ncbi.nlm.nih.gov/?term=Fan+J&amp;cauthor_id=36777180" </w:instrText>
      </w:r>
      <w:r>
        <w:rPr>
          <w:rFonts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Junpeng Fan</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"https://pubmed.ncbi.nlm.nih.gov/?term=Fu+Y&amp;cauthor_id=36777180"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Yu Fu</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"https://pubmed.ncbi.nlm.nih.gov/?term=Peng+W&amp;cauthor_id=36777180"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Wenju Peng</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"https://pubmed.ncbi.nlm.nih.gov/?term=Li+X&amp;cauthor_id=36777180"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Xiong Li</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"https://pubmed.ncbi.nlm.nih.gov/?term=Shen+Y&amp;cauthor_id=36777180"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Yuanming Shen</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vertAlign w:val="superscript"/>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"https://pubmed.ncbi.nlm.nih.gov/?term=Guo+E&amp;cauthor_id=36777180"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Ensong Guo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"https://pubmed.ncbi.nlm.nih.gov/?term=Lu+F&amp;cauthor_id=36777180"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Funian Lu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"https://pubmed.ncbi.nlm.nih.gov/?term=Zhou+S&amp;cauthor_id=36777180"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Shengtao Zhou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"https://pubmed.ncbi.nlm.nih.gov/?term=Liu+S&amp;cauthor_id=36777180"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Si Liu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"https://pubmed.ncbi.nlm.nih.gov/?term=Yang+B&amp;cauthor_id=36777180"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Bin Yang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"https://pubmed.ncbi.nlm.nih.gov/?term=Qin+X&amp;cauthor_id=36777180"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Xu Qin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"https://pubmed.ncbi.nlm.nih.gov/?term=Hu+D&amp;cauthor_id=36777180"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Dianxing Hu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"https://pubmed.ncbi.nlm.nih.gov/?term=Xiao+R&amp;cauthor_id=36777180"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Rourou Xiao</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"https://pubmed.ncbi.nlm.nih.gov/?term=Li+X&amp;cauthor_id=36777180"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Xi Li</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"https://pubmed.ncbi.nlm.nih.gov/?term=Yang+S&amp;cauthor_id=36777180"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Siqi Yang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"https://pubmed.ncbi.nlm.nih.gov/?term=Yuan+C&amp;cauthor_id=36777180"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Cunzhong Yuan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"https://pubmed.ncbi.nlm.nih.gov/?term=Shu+Y&amp;cauthor_id=36777180"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Yao Shu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"https://pubmed.ncbi.nlm.nih.gov/?term=Huang+H&amp;cauthor_id=36777180"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He Huang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"https://pubmed.ncbi.nlm.nih.gov/?term=Wan+T&amp;cauthor_id=36777180"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Ting Wan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"https://pubmed.ncbi.nlm.nih.gov/?term=Pi+Y&amp;cauthor_id=36777180"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Yanan Pi</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"https://pubmed.ncbi.nlm.nih.gov/?term=Wang+S&amp;cauthor_id=36777180"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Shuxiang Wang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"https://pubmed.ncbi.nlm.nih.gov/?term=Chen+W&amp;cauthor_id=36777180"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Wenjuan Chen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"https://pubmed.ncbi.nlm.nih.gov/?term=Wang+H&amp;cauthor_id=36777180"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Haixia Wang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"https://pubmed.ncbi.nlm.nih.gov/?term=Zhong+L&amp;cauthor_id=36777180"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Lin Zhong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"https://pubmed.ncbi.nlm.nih.gov/?term=Yuan+L&amp;cauthor_id=36777180"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Li Yuan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"https://pubmed.ncbi.nlm.nih.gov/?term=Wen+B&amp;cauthor_id=36777180"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Baogang Wen</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"https://pubmed.ncbi.nlm.nih.gov/?term=Kong+B&amp;cauthor_id=36777180"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Beihua Kong</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"https://pubmed.ncbi.nlm.nih.gov/?term=Mills+GB&amp;cauthor_id=36777180"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Gordon B Mills</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"https://pubmed.ncbi.nlm.nih.gov/?term=Zou+D&amp;cauthor_id=36777180"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Dongling Zou</w:t>
      </w:r>
      <w:r>
        <w:rPr>
          <w:rFonts w:hint="default" w:ascii="Times New Roman" w:hAnsi="Times New Roman"/>
          <w:b w:val="0"/>
          <w:bCs w:val="0"/>
          <w:color w:val="auto"/>
          <w:sz w:val="21"/>
          <w:szCs w:val="21"/>
        </w:rPr>
        <w:fldChar w:fldCharType="end"/>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"https://pubmed.ncbi.nlm.nih.gov/?term=Xia+B&amp;cauthor_id=36777180"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Bairong Xia</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"https://pubmed.ncbi.nlm.nih.gov/?term=Song+K&amp;cauthor_id=36777180"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Kun Song</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"https://pubmed.ncbi.nlm.nih.gov/?term=Chen+G&amp;cauthor_id=36777180"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Gang Chen</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"https://pubmed.ncbi.nlm.nih.gov/?term=Ma+D&amp;cauthor_id=36777180"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Ding Ma</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w:t>
      </w:r>
      <w:r>
        <w:rPr>
          <w:rFonts w:hint="default" w:ascii="Times New Roman" w:hAnsi="Times New Roman"/>
          <w:b w:val="0"/>
          <w:bCs w:val="0"/>
          <w:color w:val="auto"/>
          <w:sz w:val="21"/>
          <w:szCs w:val="21"/>
        </w:rPr>
        <w:t>, </w:t>
      </w:r>
      <w:r>
        <w:rPr>
          <w:rFonts w:hint="default" w:ascii="Times New Roman" w:hAnsi="Times New Roman"/>
          <w:b w:val="0"/>
          <w:bCs w:val="0"/>
          <w:color w:val="auto"/>
          <w:sz w:val="21"/>
          <w:szCs w:val="21"/>
        </w:rPr>
        <w:fldChar w:fldCharType="begin"/>
      </w:r>
      <w:r>
        <w:rPr>
          <w:rFonts w:hint="default" w:ascii="Times New Roman" w:hAnsi="Times New Roman"/>
          <w:b w:val="0"/>
          <w:bCs w:val="0"/>
          <w:color w:val="auto"/>
          <w:sz w:val="21"/>
          <w:szCs w:val="21"/>
        </w:rPr>
        <w:instrText xml:space="preserve"> HYPERLINK "https://pubmed.ncbi.nlm.nih.gov/?term=Sun+C&amp;cauthor_id=36777180" </w:instrText>
      </w:r>
      <w:r>
        <w:rPr>
          <w:rFonts w:hint="default" w:ascii="Times New Roman" w:hAnsi="Times New Roman"/>
          <w:b w:val="0"/>
          <w:bCs w:val="0"/>
          <w:color w:val="auto"/>
          <w:sz w:val="21"/>
          <w:szCs w:val="21"/>
        </w:rPr>
        <w:fldChar w:fldCharType="separate"/>
      </w:r>
      <w:r>
        <w:rPr>
          <w:rFonts w:hint="default" w:ascii="Times New Roman" w:hAnsi="Times New Roman"/>
          <w:b w:val="0"/>
          <w:bCs w:val="0"/>
          <w:color w:val="auto"/>
          <w:sz w:val="21"/>
          <w:szCs w:val="21"/>
        </w:rPr>
        <w:t>Chaoyang Sun</w:t>
      </w:r>
      <w:r>
        <w:rPr>
          <w:rFonts w:hint="default" w:ascii="Times New Roman" w:hAnsi="Times New Roman"/>
          <w:b w:val="0"/>
          <w:bCs w:val="0"/>
          <w:color w:val="auto"/>
          <w:sz w:val="21"/>
          <w:szCs w:val="21"/>
        </w:rPr>
        <w:fldChar w:fldCharType="end"/>
      </w:r>
      <w:r>
        <w:rPr>
          <w:rFonts w:ascii="Times New Roman" w:hAnsi="Times New Roman"/>
          <w:b w:val="0"/>
          <w:bCs w:val="0"/>
          <w:color w:val="auto"/>
          <w:sz w:val="21"/>
          <w:szCs w:val="21"/>
        </w:rPr>
        <w:t>*. Multi-omics characterization of silent and productive HPV integration in cervical cancer.</w:t>
      </w:r>
      <w:r>
        <w:rPr>
          <w:rFonts w:hint="default" w:ascii="Times New Roman" w:hAnsi="Times New Roman"/>
          <w:b w:val="0"/>
          <w:bCs w:val="0"/>
          <w:color w:val="auto"/>
          <w:sz w:val="21"/>
          <w:szCs w:val="21"/>
        </w:rPr>
        <w:t> Cell genomics, 3(1), 100211.</w:t>
      </w:r>
      <w:r>
        <w:rPr>
          <w:rFonts w:hint="eastAsia" w:ascii="Times New Roman" w:hAnsi="Times New Roman"/>
          <w:b w:val="0"/>
          <w:bCs w:val="0"/>
          <w:color w:val="auto"/>
          <w:sz w:val="21"/>
          <w:szCs w:val="21"/>
          <w:lang w:val="en-US" w:eastAsia="zh-CN"/>
        </w:rPr>
        <w:t xml:space="preserve"> </w:t>
      </w:r>
      <w:r>
        <w:rPr>
          <w:rFonts w:ascii="Times New Roman" w:hAnsi="Times New Roman"/>
          <w:b w:val="0"/>
          <w:bCs w:val="0"/>
          <w:color w:val="auto"/>
          <w:sz w:val="21"/>
          <w:szCs w:val="21"/>
        </w:rPr>
        <w:t xml:space="preserve">(2023). </w:t>
      </w:r>
    </w:p>
    <w:p w14:paraId="06A38A2D">
      <w:pPr>
        <w:widowControl/>
        <w:rPr>
          <w:rFonts w:hint="default" w:ascii="宋体" w:hAnsi="宋体" w:eastAsia="宋体" w:cs="宋体"/>
          <w:kern w:val="0"/>
          <w:sz w:val="32"/>
          <w:szCs w:val="32"/>
          <w:lang w:val="en-US" w:eastAsia="zh-CN"/>
        </w:rPr>
      </w:pPr>
    </w:p>
    <w:p w14:paraId="0A10F14E">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b/>
          <w:color w:val="auto"/>
          <w:sz w:val="28"/>
          <w:szCs w:val="28"/>
          <w:lang w:val="en-US" w:eastAsia="zh-CN"/>
        </w:rPr>
      </w:pPr>
      <w:r>
        <w:rPr>
          <w:rFonts w:hint="eastAsia"/>
          <w:b/>
          <w:color w:val="auto"/>
          <w:sz w:val="28"/>
          <w:szCs w:val="28"/>
          <w:lang w:val="en-US" w:eastAsia="zh-CN"/>
        </w:rPr>
        <w:t>主要知识产权目录</w:t>
      </w:r>
    </w:p>
    <w:p w14:paraId="2DCB50A8">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lang w:val="en-US" w:eastAsia="zh-CN"/>
        </w:rPr>
      </w:pPr>
    </w:p>
    <w:tbl>
      <w:tblPr>
        <w:tblW w:w="94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564"/>
        <w:gridCol w:w="1662"/>
        <w:gridCol w:w="1240"/>
        <w:gridCol w:w="776"/>
        <w:gridCol w:w="1095"/>
        <w:gridCol w:w="1105"/>
        <w:gridCol w:w="997"/>
        <w:gridCol w:w="2032"/>
      </w:tblGrid>
      <w:tr w14:paraId="5795D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564" w:type="dxa"/>
            <w:tcBorders>
              <w:top w:val="nil"/>
            </w:tcBorders>
            <w:shd w:val="clear" w:color="auto" w:fill="FFFFFF"/>
            <w:tcMar>
              <w:top w:w="75" w:type="dxa"/>
              <w:left w:w="0" w:type="dxa"/>
              <w:bottom w:w="75" w:type="dxa"/>
              <w:right w:w="120" w:type="dxa"/>
            </w:tcMar>
            <w:vAlign w:val="center"/>
          </w:tcPr>
          <w:p w14:paraId="599AB8D4">
            <w:pPr>
              <w:keepNext w:val="0"/>
              <w:keepLines w:val="0"/>
              <w:widowControl/>
              <w:suppressLineNumbers w:val="0"/>
              <w:spacing w:line="188" w:lineRule="atLeast"/>
              <w:jc w:val="both"/>
              <w:rPr>
                <w:rFonts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序号</w:t>
            </w:r>
          </w:p>
        </w:tc>
        <w:tc>
          <w:tcPr>
            <w:tcW w:w="1662" w:type="dxa"/>
            <w:tcBorders>
              <w:top w:val="nil"/>
            </w:tcBorders>
            <w:shd w:val="clear" w:color="auto" w:fill="FFFFFF"/>
            <w:tcMar>
              <w:top w:w="75" w:type="dxa"/>
              <w:left w:w="120" w:type="dxa"/>
              <w:bottom w:w="75" w:type="dxa"/>
              <w:right w:w="120" w:type="dxa"/>
            </w:tcMar>
            <w:vAlign w:val="center"/>
          </w:tcPr>
          <w:p w14:paraId="0249E8F4">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专利名称</w:t>
            </w:r>
          </w:p>
        </w:tc>
        <w:tc>
          <w:tcPr>
            <w:tcW w:w="0" w:type="auto"/>
            <w:tcBorders>
              <w:top w:val="nil"/>
            </w:tcBorders>
            <w:shd w:val="clear" w:color="auto" w:fill="FFFFFF"/>
            <w:tcMar>
              <w:top w:w="75" w:type="dxa"/>
              <w:left w:w="120" w:type="dxa"/>
              <w:bottom w:w="75" w:type="dxa"/>
              <w:right w:w="120" w:type="dxa"/>
            </w:tcMar>
            <w:vAlign w:val="center"/>
          </w:tcPr>
          <w:p w14:paraId="4EEEFDA2">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专利号</w:t>
            </w:r>
          </w:p>
        </w:tc>
        <w:tc>
          <w:tcPr>
            <w:tcW w:w="0" w:type="auto"/>
            <w:tcBorders>
              <w:top w:val="nil"/>
            </w:tcBorders>
            <w:shd w:val="clear" w:color="auto" w:fill="FFFFFF"/>
            <w:tcMar>
              <w:top w:w="75" w:type="dxa"/>
              <w:left w:w="120" w:type="dxa"/>
              <w:bottom w:w="75" w:type="dxa"/>
              <w:right w:w="120" w:type="dxa"/>
            </w:tcMar>
            <w:vAlign w:val="center"/>
          </w:tcPr>
          <w:p w14:paraId="0CA3D02E">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发明人</w:t>
            </w:r>
          </w:p>
        </w:tc>
        <w:tc>
          <w:tcPr>
            <w:tcW w:w="0" w:type="auto"/>
            <w:tcBorders>
              <w:top w:val="nil"/>
            </w:tcBorders>
            <w:shd w:val="clear" w:color="auto" w:fill="FFFFFF"/>
            <w:tcMar>
              <w:top w:w="75" w:type="dxa"/>
              <w:left w:w="120" w:type="dxa"/>
              <w:bottom w:w="75" w:type="dxa"/>
              <w:right w:w="120" w:type="dxa"/>
            </w:tcMar>
            <w:vAlign w:val="center"/>
          </w:tcPr>
          <w:p w14:paraId="5BBFF961">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申请日</w:t>
            </w:r>
          </w:p>
        </w:tc>
        <w:tc>
          <w:tcPr>
            <w:tcW w:w="0" w:type="auto"/>
            <w:tcBorders>
              <w:top w:val="nil"/>
            </w:tcBorders>
            <w:shd w:val="clear" w:color="auto" w:fill="FFFFFF"/>
            <w:tcMar>
              <w:top w:w="75" w:type="dxa"/>
              <w:left w:w="120" w:type="dxa"/>
              <w:bottom w:w="75" w:type="dxa"/>
              <w:right w:w="120" w:type="dxa"/>
            </w:tcMar>
            <w:vAlign w:val="center"/>
          </w:tcPr>
          <w:p w14:paraId="386BC5C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授权公告日</w:t>
            </w:r>
          </w:p>
        </w:tc>
        <w:tc>
          <w:tcPr>
            <w:tcW w:w="0" w:type="auto"/>
            <w:tcBorders>
              <w:top w:val="nil"/>
            </w:tcBorders>
            <w:shd w:val="clear" w:color="auto" w:fill="FFFFFF"/>
            <w:tcMar>
              <w:top w:w="75" w:type="dxa"/>
              <w:left w:w="120" w:type="dxa"/>
              <w:bottom w:w="75" w:type="dxa"/>
              <w:right w:w="120" w:type="dxa"/>
            </w:tcMar>
            <w:vAlign w:val="center"/>
          </w:tcPr>
          <w:p w14:paraId="68DA38D6">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专利权人</w:t>
            </w:r>
          </w:p>
        </w:tc>
        <w:tc>
          <w:tcPr>
            <w:tcW w:w="2032" w:type="dxa"/>
            <w:tcBorders>
              <w:top w:val="nil"/>
            </w:tcBorders>
            <w:shd w:val="clear" w:color="auto" w:fill="FFFFFF"/>
            <w:tcMar>
              <w:top w:w="75" w:type="dxa"/>
              <w:left w:w="120" w:type="dxa"/>
              <w:bottom w:w="75" w:type="dxa"/>
              <w:right w:w="120" w:type="dxa"/>
            </w:tcMar>
            <w:vAlign w:val="center"/>
          </w:tcPr>
          <w:p w14:paraId="3B79D8D3">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授权公告号</w:t>
            </w:r>
          </w:p>
        </w:tc>
      </w:tr>
      <w:tr w14:paraId="4E757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564" w:type="dxa"/>
            <w:shd w:val="clear" w:color="auto" w:fill="FFFFFF"/>
            <w:tcMar>
              <w:top w:w="75" w:type="dxa"/>
              <w:left w:w="0" w:type="dxa"/>
              <w:bottom w:w="75" w:type="dxa"/>
              <w:right w:w="120" w:type="dxa"/>
            </w:tcMar>
            <w:vAlign w:val="center"/>
          </w:tcPr>
          <w:p w14:paraId="171278A9">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1</w:t>
            </w:r>
          </w:p>
        </w:tc>
        <w:tc>
          <w:tcPr>
            <w:tcW w:w="1662" w:type="dxa"/>
            <w:shd w:val="clear" w:color="auto" w:fill="FFFFFF"/>
            <w:tcMar>
              <w:top w:w="75" w:type="dxa"/>
              <w:left w:w="120" w:type="dxa"/>
              <w:bottom w:w="75" w:type="dxa"/>
              <w:right w:w="120" w:type="dxa"/>
            </w:tcMar>
            <w:vAlign w:val="center"/>
          </w:tcPr>
          <w:p w14:paraId="15C458CC">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以溶酶体的代谢物为标志物进行溶酶体分类的方法</w:t>
            </w:r>
          </w:p>
        </w:tc>
        <w:tc>
          <w:tcPr>
            <w:tcW w:w="0" w:type="auto"/>
            <w:shd w:val="clear" w:color="auto" w:fill="FFFFFF"/>
            <w:tcMar>
              <w:top w:w="75" w:type="dxa"/>
              <w:left w:w="120" w:type="dxa"/>
              <w:bottom w:w="75" w:type="dxa"/>
              <w:right w:w="120" w:type="dxa"/>
            </w:tcMar>
            <w:vAlign w:val="center"/>
          </w:tcPr>
          <w:p w14:paraId="3B6B00FD">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ZL 2021 1 0548131.3</w:t>
            </w:r>
          </w:p>
        </w:tc>
        <w:tc>
          <w:tcPr>
            <w:tcW w:w="0" w:type="auto"/>
            <w:shd w:val="clear" w:color="auto" w:fill="FFFFFF"/>
            <w:tcMar>
              <w:top w:w="75" w:type="dxa"/>
              <w:left w:w="120" w:type="dxa"/>
              <w:bottom w:w="75" w:type="dxa"/>
              <w:right w:w="120" w:type="dxa"/>
            </w:tcMar>
            <w:vAlign w:val="center"/>
          </w:tcPr>
          <w:p w14:paraId="1D37F62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熊伟; 朱洪影; 仓春蕾</w:t>
            </w:r>
          </w:p>
        </w:tc>
        <w:tc>
          <w:tcPr>
            <w:tcW w:w="0" w:type="auto"/>
            <w:shd w:val="clear" w:color="auto" w:fill="FFFFFF"/>
            <w:tcMar>
              <w:top w:w="75" w:type="dxa"/>
              <w:left w:w="120" w:type="dxa"/>
              <w:bottom w:w="75" w:type="dxa"/>
              <w:right w:w="120" w:type="dxa"/>
            </w:tcMar>
            <w:vAlign w:val="center"/>
          </w:tcPr>
          <w:p w14:paraId="0C83B457">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2021.05.19</w:t>
            </w:r>
          </w:p>
        </w:tc>
        <w:tc>
          <w:tcPr>
            <w:tcW w:w="0" w:type="auto"/>
            <w:shd w:val="clear" w:color="auto" w:fill="FFFFFF"/>
            <w:tcMar>
              <w:top w:w="75" w:type="dxa"/>
              <w:left w:w="120" w:type="dxa"/>
              <w:bottom w:w="75" w:type="dxa"/>
              <w:right w:w="120" w:type="dxa"/>
            </w:tcMar>
            <w:vAlign w:val="center"/>
          </w:tcPr>
          <w:p w14:paraId="62FF6722">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2022.12.30</w:t>
            </w:r>
          </w:p>
        </w:tc>
        <w:tc>
          <w:tcPr>
            <w:tcW w:w="0" w:type="auto"/>
            <w:shd w:val="clear" w:color="auto" w:fill="FFFFFF"/>
            <w:tcMar>
              <w:top w:w="75" w:type="dxa"/>
              <w:left w:w="120" w:type="dxa"/>
              <w:bottom w:w="75" w:type="dxa"/>
              <w:right w:w="120" w:type="dxa"/>
            </w:tcMar>
            <w:vAlign w:val="center"/>
          </w:tcPr>
          <w:p w14:paraId="09A1192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中国科学技术大学</w:t>
            </w:r>
          </w:p>
        </w:tc>
        <w:tc>
          <w:tcPr>
            <w:tcW w:w="2032" w:type="dxa"/>
            <w:shd w:val="clear" w:color="auto" w:fill="FFFFFF"/>
            <w:tcMar>
              <w:top w:w="75" w:type="dxa"/>
              <w:left w:w="120" w:type="dxa"/>
              <w:bottom w:w="75" w:type="dxa"/>
              <w:right w:w="0" w:type="dxa"/>
            </w:tcMar>
            <w:vAlign w:val="center"/>
          </w:tcPr>
          <w:p w14:paraId="1BAB1A18">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CN 113267555 B</w:t>
            </w:r>
          </w:p>
        </w:tc>
      </w:tr>
      <w:tr w14:paraId="0CF4C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564" w:type="dxa"/>
            <w:shd w:val="clear" w:color="auto" w:fill="FFFFFF"/>
            <w:tcMar>
              <w:top w:w="75" w:type="dxa"/>
              <w:left w:w="0" w:type="dxa"/>
              <w:bottom w:w="75" w:type="dxa"/>
              <w:right w:w="120" w:type="dxa"/>
            </w:tcMar>
            <w:vAlign w:val="center"/>
          </w:tcPr>
          <w:p w14:paraId="124851E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w:t>
            </w:r>
          </w:p>
        </w:tc>
        <w:tc>
          <w:tcPr>
            <w:tcW w:w="1662" w:type="dxa"/>
            <w:shd w:val="clear" w:color="auto" w:fill="FFFFFF"/>
            <w:tcMar>
              <w:top w:w="75" w:type="dxa"/>
              <w:left w:w="120" w:type="dxa"/>
              <w:bottom w:w="75" w:type="dxa"/>
              <w:right w:w="120" w:type="dxa"/>
            </w:tcMar>
            <w:vAlign w:val="center"/>
          </w:tcPr>
          <w:p w14:paraId="4B7424F3">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追踪单溶酶体中亲溶酶体内容物的方法</w:t>
            </w:r>
          </w:p>
        </w:tc>
        <w:tc>
          <w:tcPr>
            <w:tcW w:w="0" w:type="auto"/>
            <w:shd w:val="clear" w:color="auto" w:fill="FFFFFF"/>
            <w:tcMar>
              <w:top w:w="75" w:type="dxa"/>
              <w:left w:w="120" w:type="dxa"/>
              <w:bottom w:w="75" w:type="dxa"/>
              <w:right w:w="120" w:type="dxa"/>
            </w:tcMar>
            <w:vAlign w:val="center"/>
          </w:tcPr>
          <w:p w14:paraId="27B42F75">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ZL 2021 1 0548132.8</w:t>
            </w:r>
          </w:p>
        </w:tc>
        <w:tc>
          <w:tcPr>
            <w:tcW w:w="0" w:type="auto"/>
            <w:shd w:val="clear" w:color="auto" w:fill="FFFFFF"/>
            <w:tcMar>
              <w:top w:w="75" w:type="dxa"/>
              <w:left w:w="120" w:type="dxa"/>
              <w:bottom w:w="75" w:type="dxa"/>
              <w:right w:w="120" w:type="dxa"/>
            </w:tcMar>
            <w:vAlign w:val="center"/>
          </w:tcPr>
          <w:p w14:paraId="69B16764">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熊伟; 朱洪影; 仓春蕾</w:t>
            </w:r>
          </w:p>
        </w:tc>
        <w:tc>
          <w:tcPr>
            <w:tcW w:w="0" w:type="auto"/>
            <w:shd w:val="clear" w:color="auto" w:fill="FFFFFF"/>
            <w:tcMar>
              <w:top w:w="75" w:type="dxa"/>
              <w:left w:w="120" w:type="dxa"/>
              <w:bottom w:w="75" w:type="dxa"/>
              <w:right w:w="120" w:type="dxa"/>
            </w:tcMar>
            <w:vAlign w:val="center"/>
          </w:tcPr>
          <w:p w14:paraId="7FB18055">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2021.05.19</w:t>
            </w:r>
          </w:p>
        </w:tc>
        <w:tc>
          <w:tcPr>
            <w:tcW w:w="0" w:type="auto"/>
            <w:shd w:val="clear" w:color="auto" w:fill="FFFFFF"/>
            <w:tcMar>
              <w:top w:w="75" w:type="dxa"/>
              <w:left w:w="120" w:type="dxa"/>
              <w:bottom w:w="75" w:type="dxa"/>
              <w:right w:w="120" w:type="dxa"/>
            </w:tcMar>
            <w:vAlign w:val="center"/>
          </w:tcPr>
          <w:p w14:paraId="4A64DC1D">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2023.04.25</w:t>
            </w:r>
          </w:p>
        </w:tc>
        <w:tc>
          <w:tcPr>
            <w:tcW w:w="0" w:type="auto"/>
            <w:shd w:val="clear" w:color="auto" w:fill="FFFFFF"/>
            <w:tcMar>
              <w:top w:w="75" w:type="dxa"/>
              <w:left w:w="120" w:type="dxa"/>
              <w:bottom w:w="75" w:type="dxa"/>
              <w:right w:w="120" w:type="dxa"/>
            </w:tcMar>
            <w:vAlign w:val="center"/>
          </w:tcPr>
          <w:p w14:paraId="6377F0B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中国科学技术大学</w:t>
            </w:r>
          </w:p>
        </w:tc>
        <w:tc>
          <w:tcPr>
            <w:tcW w:w="2032" w:type="dxa"/>
            <w:shd w:val="clear" w:color="auto" w:fill="FFFFFF"/>
            <w:tcMar>
              <w:top w:w="75" w:type="dxa"/>
              <w:left w:w="120" w:type="dxa"/>
              <w:bottom w:w="75" w:type="dxa"/>
              <w:right w:w="0" w:type="dxa"/>
            </w:tcMar>
            <w:vAlign w:val="center"/>
          </w:tcPr>
          <w:p w14:paraId="0032829E">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CN 113281397 B</w:t>
            </w:r>
          </w:p>
        </w:tc>
      </w:tr>
      <w:tr w14:paraId="6BFB1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564" w:type="dxa"/>
            <w:shd w:val="clear" w:color="auto" w:fill="FFFFFF"/>
            <w:tcMar>
              <w:top w:w="75" w:type="dxa"/>
              <w:left w:w="0" w:type="dxa"/>
              <w:bottom w:w="75" w:type="dxa"/>
              <w:right w:w="120" w:type="dxa"/>
            </w:tcMar>
            <w:vAlign w:val="center"/>
          </w:tcPr>
          <w:p w14:paraId="0BE3B313">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3</w:t>
            </w:r>
          </w:p>
        </w:tc>
        <w:tc>
          <w:tcPr>
            <w:tcW w:w="1662" w:type="dxa"/>
            <w:shd w:val="clear" w:color="auto" w:fill="FFFFFF"/>
            <w:tcMar>
              <w:top w:w="75" w:type="dxa"/>
              <w:left w:w="120" w:type="dxa"/>
              <w:bottom w:w="75" w:type="dxa"/>
              <w:right w:w="120" w:type="dxa"/>
            </w:tcMar>
            <w:vAlign w:val="center"/>
          </w:tcPr>
          <w:p w14:paraId="2B939A5F">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一种细胞内新的生物合成路径探测方法</w:t>
            </w:r>
          </w:p>
        </w:tc>
        <w:tc>
          <w:tcPr>
            <w:tcW w:w="0" w:type="auto"/>
            <w:shd w:val="clear" w:color="auto" w:fill="FFFFFF"/>
            <w:tcMar>
              <w:top w:w="75" w:type="dxa"/>
              <w:left w:w="120" w:type="dxa"/>
              <w:bottom w:w="75" w:type="dxa"/>
              <w:right w:w="120" w:type="dxa"/>
            </w:tcMar>
            <w:vAlign w:val="center"/>
          </w:tcPr>
          <w:p w14:paraId="63572775">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ZL 2021 1 0682856.1</w:t>
            </w:r>
          </w:p>
        </w:tc>
        <w:tc>
          <w:tcPr>
            <w:tcW w:w="0" w:type="auto"/>
            <w:shd w:val="clear" w:color="auto" w:fill="FFFFFF"/>
            <w:tcMar>
              <w:top w:w="75" w:type="dxa"/>
              <w:left w:w="120" w:type="dxa"/>
              <w:bottom w:w="75" w:type="dxa"/>
              <w:right w:w="120" w:type="dxa"/>
            </w:tcMar>
            <w:vAlign w:val="center"/>
          </w:tcPr>
          <w:p w14:paraId="7BA4E584">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熊伟; 刘丹; 张学和</w:t>
            </w:r>
          </w:p>
        </w:tc>
        <w:tc>
          <w:tcPr>
            <w:tcW w:w="0" w:type="auto"/>
            <w:shd w:val="clear" w:color="auto" w:fill="FFFFFF"/>
            <w:tcMar>
              <w:top w:w="75" w:type="dxa"/>
              <w:left w:w="120" w:type="dxa"/>
              <w:bottom w:w="75" w:type="dxa"/>
              <w:right w:w="120" w:type="dxa"/>
            </w:tcMar>
            <w:vAlign w:val="center"/>
          </w:tcPr>
          <w:p w14:paraId="1B4DA397">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2021.06.17</w:t>
            </w:r>
          </w:p>
        </w:tc>
        <w:tc>
          <w:tcPr>
            <w:tcW w:w="0" w:type="auto"/>
            <w:shd w:val="clear" w:color="auto" w:fill="FFFFFF"/>
            <w:tcMar>
              <w:top w:w="75" w:type="dxa"/>
              <w:left w:w="120" w:type="dxa"/>
              <w:bottom w:w="75" w:type="dxa"/>
              <w:right w:w="120" w:type="dxa"/>
            </w:tcMar>
            <w:vAlign w:val="center"/>
          </w:tcPr>
          <w:p w14:paraId="3CC360B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2023.01.03</w:t>
            </w:r>
          </w:p>
        </w:tc>
        <w:tc>
          <w:tcPr>
            <w:tcW w:w="0" w:type="auto"/>
            <w:shd w:val="clear" w:color="auto" w:fill="FFFFFF"/>
            <w:tcMar>
              <w:top w:w="75" w:type="dxa"/>
              <w:left w:w="120" w:type="dxa"/>
              <w:bottom w:w="75" w:type="dxa"/>
              <w:right w:w="120" w:type="dxa"/>
            </w:tcMar>
            <w:vAlign w:val="center"/>
          </w:tcPr>
          <w:p w14:paraId="37973D35">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安徽科丞智能健康科技有限责任公司</w:t>
            </w:r>
          </w:p>
        </w:tc>
        <w:tc>
          <w:tcPr>
            <w:tcW w:w="2032" w:type="dxa"/>
            <w:shd w:val="clear" w:color="auto" w:fill="FFFFFF"/>
            <w:tcMar>
              <w:top w:w="75" w:type="dxa"/>
              <w:left w:w="120" w:type="dxa"/>
              <w:bottom w:w="75" w:type="dxa"/>
              <w:right w:w="0" w:type="dxa"/>
            </w:tcMar>
            <w:vAlign w:val="center"/>
          </w:tcPr>
          <w:p w14:paraId="18D529C6">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CN 113358733 B</w:t>
            </w:r>
          </w:p>
        </w:tc>
      </w:tr>
      <w:tr w14:paraId="68AFF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564" w:type="dxa"/>
            <w:shd w:val="clear" w:color="auto" w:fill="FFFFFF"/>
            <w:tcMar>
              <w:top w:w="75" w:type="dxa"/>
              <w:left w:w="0" w:type="dxa"/>
              <w:bottom w:w="75" w:type="dxa"/>
              <w:right w:w="120" w:type="dxa"/>
            </w:tcMar>
            <w:vAlign w:val="center"/>
          </w:tcPr>
          <w:p w14:paraId="7CBC3BFF">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4</w:t>
            </w:r>
          </w:p>
        </w:tc>
        <w:tc>
          <w:tcPr>
            <w:tcW w:w="1662" w:type="dxa"/>
            <w:shd w:val="clear" w:color="auto" w:fill="FFFFFF"/>
            <w:tcMar>
              <w:top w:w="75" w:type="dxa"/>
              <w:left w:w="120" w:type="dxa"/>
              <w:bottom w:w="75" w:type="dxa"/>
              <w:right w:w="120" w:type="dxa"/>
            </w:tcMar>
            <w:vAlign w:val="center"/>
          </w:tcPr>
          <w:p w14:paraId="08D8BADB">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一种检测细胞内化学物质的性能指标方法</w:t>
            </w:r>
          </w:p>
        </w:tc>
        <w:tc>
          <w:tcPr>
            <w:tcW w:w="0" w:type="auto"/>
            <w:shd w:val="clear" w:color="auto" w:fill="FFFFFF"/>
            <w:tcMar>
              <w:top w:w="75" w:type="dxa"/>
              <w:left w:w="120" w:type="dxa"/>
              <w:bottom w:w="75" w:type="dxa"/>
              <w:right w:w="120" w:type="dxa"/>
            </w:tcMar>
            <w:vAlign w:val="center"/>
          </w:tcPr>
          <w:p w14:paraId="308338AC">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ZL 2021 1 0682860.8</w:t>
            </w:r>
          </w:p>
        </w:tc>
        <w:tc>
          <w:tcPr>
            <w:tcW w:w="0" w:type="auto"/>
            <w:shd w:val="clear" w:color="auto" w:fill="FFFFFF"/>
            <w:tcMar>
              <w:top w:w="75" w:type="dxa"/>
              <w:left w:w="120" w:type="dxa"/>
              <w:bottom w:w="75" w:type="dxa"/>
              <w:right w:w="120" w:type="dxa"/>
            </w:tcMar>
            <w:vAlign w:val="center"/>
          </w:tcPr>
          <w:p w14:paraId="4DC23627">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熊伟; 刘丹; 张学和</w:t>
            </w:r>
          </w:p>
        </w:tc>
        <w:tc>
          <w:tcPr>
            <w:tcW w:w="0" w:type="auto"/>
            <w:shd w:val="clear" w:color="auto" w:fill="FFFFFF"/>
            <w:tcMar>
              <w:top w:w="75" w:type="dxa"/>
              <w:left w:w="120" w:type="dxa"/>
              <w:bottom w:w="75" w:type="dxa"/>
              <w:right w:w="120" w:type="dxa"/>
            </w:tcMar>
            <w:vAlign w:val="center"/>
          </w:tcPr>
          <w:p w14:paraId="0243B1CC">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2021.06.17</w:t>
            </w:r>
          </w:p>
        </w:tc>
        <w:tc>
          <w:tcPr>
            <w:tcW w:w="0" w:type="auto"/>
            <w:shd w:val="clear" w:color="auto" w:fill="FFFFFF"/>
            <w:tcMar>
              <w:top w:w="75" w:type="dxa"/>
              <w:left w:w="120" w:type="dxa"/>
              <w:bottom w:w="75" w:type="dxa"/>
              <w:right w:w="120" w:type="dxa"/>
            </w:tcMar>
            <w:vAlign w:val="center"/>
          </w:tcPr>
          <w:p w14:paraId="67B3E7D6">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2023.01.24</w:t>
            </w:r>
          </w:p>
        </w:tc>
        <w:tc>
          <w:tcPr>
            <w:tcW w:w="0" w:type="auto"/>
            <w:shd w:val="clear" w:color="auto" w:fill="FFFFFF"/>
            <w:tcMar>
              <w:top w:w="75" w:type="dxa"/>
              <w:left w:w="120" w:type="dxa"/>
              <w:bottom w:w="75" w:type="dxa"/>
              <w:right w:w="120" w:type="dxa"/>
            </w:tcMar>
            <w:vAlign w:val="center"/>
          </w:tcPr>
          <w:p w14:paraId="47EACD60">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安徽科丞智能健康科技有限责任公司</w:t>
            </w:r>
          </w:p>
        </w:tc>
        <w:tc>
          <w:tcPr>
            <w:tcW w:w="2032" w:type="dxa"/>
            <w:shd w:val="clear" w:color="auto" w:fill="FFFFFF"/>
            <w:tcMar>
              <w:top w:w="75" w:type="dxa"/>
              <w:left w:w="120" w:type="dxa"/>
              <w:bottom w:w="75" w:type="dxa"/>
              <w:right w:w="0" w:type="dxa"/>
            </w:tcMar>
            <w:vAlign w:val="center"/>
          </w:tcPr>
          <w:p w14:paraId="110FEAD3">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CN 113390666 B</w:t>
            </w:r>
          </w:p>
        </w:tc>
      </w:tr>
      <w:tr w14:paraId="0719C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564" w:type="dxa"/>
            <w:shd w:val="clear" w:color="auto" w:fill="FFFFFF"/>
            <w:tcMar>
              <w:top w:w="75" w:type="dxa"/>
              <w:left w:w="0" w:type="dxa"/>
              <w:bottom w:w="75" w:type="dxa"/>
              <w:right w:w="120" w:type="dxa"/>
            </w:tcMar>
            <w:vAlign w:val="center"/>
          </w:tcPr>
          <w:p w14:paraId="436A51EE">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5</w:t>
            </w:r>
          </w:p>
        </w:tc>
        <w:tc>
          <w:tcPr>
            <w:tcW w:w="1662" w:type="dxa"/>
            <w:shd w:val="clear" w:color="auto" w:fill="FFFFFF"/>
            <w:tcMar>
              <w:top w:w="75" w:type="dxa"/>
              <w:left w:w="120" w:type="dxa"/>
              <w:bottom w:w="75" w:type="dxa"/>
              <w:right w:w="120" w:type="dxa"/>
            </w:tcMar>
            <w:vAlign w:val="center"/>
          </w:tcPr>
          <w:p w14:paraId="19818B71">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一株可缓解神经性贪食症的普拉梭菌及其应用</w:t>
            </w:r>
          </w:p>
        </w:tc>
        <w:tc>
          <w:tcPr>
            <w:tcW w:w="0" w:type="auto"/>
            <w:shd w:val="clear" w:color="auto" w:fill="FFFFFF"/>
            <w:tcMar>
              <w:top w:w="75" w:type="dxa"/>
              <w:left w:w="120" w:type="dxa"/>
              <w:bottom w:w="75" w:type="dxa"/>
              <w:right w:w="120" w:type="dxa"/>
            </w:tcMar>
            <w:vAlign w:val="center"/>
          </w:tcPr>
          <w:p w14:paraId="61CF0CBF">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ZL 2023 1 1088196.X</w:t>
            </w:r>
          </w:p>
        </w:tc>
        <w:tc>
          <w:tcPr>
            <w:tcW w:w="0" w:type="auto"/>
            <w:shd w:val="clear" w:color="auto" w:fill="FFFFFF"/>
            <w:tcMar>
              <w:top w:w="75" w:type="dxa"/>
              <w:left w:w="120" w:type="dxa"/>
              <w:bottom w:w="75" w:type="dxa"/>
              <w:right w:w="120" w:type="dxa"/>
            </w:tcMar>
            <w:vAlign w:val="center"/>
          </w:tcPr>
          <w:p w14:paraId="78F2C34A">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熊伟; 范思佳; 郭薇薇</w:t>
            </w:r>
          </w:p>
        </w:tc>
        <w:tc>
          <w:tcPr>
            <w:tcW w:w="0" w:type="auto"/>
            <w:shd w:val="clear" w:color="auto" w:fill="FFFFFF"/>
            <w:tcMar>
              <w:top w:w="75" w:type="dxa"/>
              <w:left w:w="120" w:type="dxa"/>
              <w:bottom w:w="75" w:type="dxa"/>
              <w:right w:w="120" w:type="dxa"/>
            </w:tcMar>
            <w:vAlign w:val="center"/>
          </w:tcPr>
          <w:p w14:paraId="56DA3850">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2023.08.28</w:t>
            </w:r>
          </w:p>
        </w:tc>
        <w:tc>
          <w:tcPr>
            <w:tcW w:w="0" w:type="auto"/>
            <w:shd w:val="clear" w:color="auto" w:fill="FFFFFF"/>
            <w:tcMar>
              <w:top w:w="75" w:type="dxa"/>
              <w:left w:w="120" w:type="dxa"/>
              <w:bottom w:w="75" w:type="dxa"/>
              <w:right w:w="120" w:type="dxa"/>
            </w:tcMar>
            <w:vAlign w:val="center"/>
          </w:tcPr>
          <w:p w14:paraId="6E5A5C02">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2024.02.23</w:t>
            </w:r>
          </w:p>
        </w:tc>
        <w:tc>
          <w:tcPr>
            <w:tcW w:w="0" w:type="auto"/>
            <w:shd w:val="clear" w:color="auto" w:fill="FFFFFF"/>
            <w:tcMar>
              <w:top w:w="75" w:type="dxa"/>
              <w:left w:w="120" w:type="dxa"/>
              <w:bottom w:w="75" w:type="dxa"/>
              <w:right w:w="120" w:type="dxa"/>
            </w:tcMar>
            <w:vAlign w:val="center"/>
          </w:tcPr>
          <w:p w14:paraId="33110397">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中国科学技术大学</w:t>
            </w:r>
          </w:p>
        </w:tc>
        <w:tc>
          <w:tcPr>
            <w:tcW w:w="2032" w:type="dxa"/>
            <w:shd w:val="clear" w:color="auto" w:fill="FFFFFF"/>
            <w:tcMar>
              <w:top w:w="75" w:type="dxa"/>
              <w:left w:w="120" w:type="dxa"/>
              <w:bottom w:w="75" w:type="dxa"/>
              <w:right w:w="0" w:type="dxa"/>
            </w:tcMar>
            <w:vAlign w:val="center"/>
          </w:tcPr>
          <w:p w14:paraId="69B1A2B9">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CN 117070416 B</w:t>
            </w:r>
          </w:p>
        </w:tc>
      </w:tr>
      <w:tr w14:paraId="43621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564" w:type="dxa"/>
            <w:shd w:val="clear" w:color="auto" w:fill="FFFFFF"/>
            <w:tcMar>
              <w:top w:w="75" w:type="dxa"/>
              <w:left w:w="0" w:type="dxa"/>
              <w:bottom w:w="75" w:type="dxa"/>
              <w:right w:w="120" w:type="dxa"/>
            </w:tcMar>
            <w:vAlign w:val="center"/>
          </w:tcPr>
          <w:p w14:paraId="771E4447">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6</w:t>
            </w:r>
          </w:p>
        </w:tc>
        <w:tc>
          <w:tcPr>
            <w:tcW w:w="1662" w:type="dxa"/>
            <w:shd w:val="clear" w:color="auto" w:fill="FFFFFF"/>
            <w:tcMar>
              <w:top w:w="75" w:type="dxa"/>
              <w:left w:w="120" w:type="dxa"/>
              <w:bottom w:w="75" w:type="dxa"/>
              <w:right w:w="120" w:type="dxa"/>
            </w:tcMar>
            <w:vAlign w:val="center"/>
          </w:tcPr>
          <w:p w14:paraId="4DC66407">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作为配体门控离子通道受体调节剂的一种化合物及其制备和应用</w:t>
            </w:r>
          </w:p>
        </w:tc>
        <w:tc>
          <w:tcPr>
            <w:tcW w:w="0" w:type="auto"/>
            <w:shd w:val="clear" w:color="auto" w:fill="FFFFFF"/>
            <w:tcMar>
              <w:top w:w="75" w:type="dxa"/>
              <w:left w:w="120" w:type="dxa"/>
              <w:bottom w:w="75" w:type="dxa"/>
              <w:right w:w="120" w:type="dxa"/>
            </w:tcMar>
            <w:vAlign w:val="center"/>
          </w:tcPr>
          <w:p w14:paraId="788CE861">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ZL 2023 1 0182605.6</w:t>
            </w:r>
          </w:p>
        </w:tc>
        <w:tc>
          <w:tcPr>
            <w:tcW w:w="0" w:type="auto"/>
            <w:shd w:val="clear" w:color="auto" w:fill="FFFFFF"/>
            <w:tcMar>
              <w:top w:w="75" w:type="dxa"/>
              <w:left w:w="120" w:type="dxa"/>
              <w:bottom w:w="75" w:type="dxa"/>
              <w:right w:w="120" w:type="dxa"/>
            </w:tcMar>
            <w:vAlign w:val="center"/>
          </w:tcPr>
          <w:p w14:paraId="22DFEE8E">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熊伟</w:t>
            </w:r>
          </w:p>
        </w:tc>
        <w:tc>
          <w:tcPr>
            <w:tcW w:w="0" w:type="auto"/>
            <w:shd w:val="clear" w:color="auto" w:fill="FFFFFF"/>
            <w:tcMar>
              <w:top w:w="75" w:type="dxa"/>
              <w:left w:w="120" w:type="dxa"/>
              <w:bottom w:w="75" w:type="dxa"/>
              <w:right w:w="120" w:type="dxa"/>
            </w:tcMar>
            <w:vAlign w:val="center"/>
          </w:tcPr>
          <w:p w14:paraId="4EAAA7FC">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2023.03.01</w:t>
            </w:r>
          </w:p>
        </w:tc>
        <w:tc>
          <w:tcPr>
            <w:tcW w:w="0" w:type="auto"/>
            <w:shd w:val="clear" w:color="auto" w:fill="FFFFFF"/>
            <w:tcMar>
              <w:top w:w="75" w:type="dxa"/>
              <w:left w:w="120" w:type="dxa"/>
              <w:bottom w:w="75" w:type="dxa"/>
              <w:right w:w="120" w:type="dxa"/>
            </w:tcMar>
            <w:vAlign w:val="center"/>
          </w:tcPr>
          <w:p w14:paraId="177634FB">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2023.11.21</w:t>
            </w:r>
          </w:p>
        </w:tc>
        <w:tc>
          <w:tcPr>
            <w:tcW w:w="0" w:type="auto"/>
            <w:shd w:val="clear" w:color="auto" w:fill="FFFFFF"/>
            <w:tcMar>
              <w:top w:w="75" w:type="dxa"/>
              <w:left w:w="120" w:type="dxa"/>
              <w:bottom w:w="75" w:type="dxa"/>
              <w:right w:w="120" w:type="dxa"/>
            </w:tcMar>
            <w:vAlign w:val="center"/>
          </w:tcPr>
          <w:p w14:paraId="31F1CD5F">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中国科学技术大学</w:t>
            </w:r>
          </w:p>
        </w:tc>
        <w:tc>
          <w:tcPr>
            <w:tcW w:w="2032" w:type="dxa"/>
            <w:shd w:val="clear" w:color="auto" w:fill="FFFFFF"/>
            <w:tcMar>
              <w:top w:w="75" w:type="dxa"/>
              <w:left w:w="120" w:type="dxa"/>
              <w:bottom w:w="75" w:type="dxa"/>
              <w:right w:w="0" w:type="dxa"/>
            </w:tcMar>
            <w:vAlign w:val="center"/>
          </w:tcPr>
          <w:p w14:paraId="1953FC0D">
            <w:pPr>
              <w:keepNext w:val="0"/>
              <w:keepLines w:val="0"/>
              <w:widowControl/>
              <w:suppressLineNumbers w:val="0"/>
              <w:spacing w:line="188" w:lineRule="atLeast"/>
              <w:jc w:val="both"/>
              <w:rPr>
                <w:rFonts w:hint="default" w:ascii="Segoe UI" w:hAnsi="Segoe UI" w:eastAsia="Segoe UI" w:cs="Segoe UI"/>
                <w:b w:val="0"/>
                <w:bCs w:val="0"/>
                <w:i w:val="0"/>
                <w:iCs w:val="0"/>
                <w:caps w:val="0"/>
                <w:color w:val="0F1115"/>
                <w:spacing w:val="0"/>
                <w:sz w:val="18"/>
                <w:szCs w:val="18"/>
              </w:rPr>
            </w:pPr>
            <w:r>
              <w:rPr>
                <w:rFonts w:hint="default" w:ascii="Segoe UI" w:hAnsi="Segoe UI" w:eastAsia="Segoe UI" w:cs="Segoe UI"/>
                <w:b w:val="0"/>
                <w:bCs w:val="0"/>
                <w:i w:val="0"/>
                <w:iCs w:val="0"/>
                <w:caps w:val="0"/>
                <w:color w:val="0F1115"/>
                <w:spacing w:val="0"/>
                <w:kern w:val="0"/>
                <w:sz w:val="18"/>
                <w:szCs w:val="18"/>
                <w:bdr w:val="none" w:color="auto" w:sz="0" w:space="0"/>
                <w:lang w:val="en-US" w:eastAsia="zh-CN" w:bidi="ar"/>
              </w:rPr>
              <w:t>CN 116063281 B</w:t>
            </w:r>
          </w:p>
        </w:tc>
      </w:tr>
    </w:tbl>
    <w:p w14:paraId="2F9D88EC">
      <w:pPr>
        <w:keepNext w:val="0"/>
        <w:keepLines w:val="0"/>
        <w:pageBreakBefore w:val="0"/>
        <w:kinsoku/>
        <w:wordWrap/>
        <w:overflowPunct/>
        <w:topLinePunct w:val="0"/>
        <w:autoSpaceDE/>
        <w:autoSpaceDN/>
        <w:bidi w:val="0"/>
        <w:adjustRightInd/>
        <w:snapToGrid w:val="0"/>
        <w:spacing w:line="300" w:lineRule="exact"/>
        <w:jc w:val="both"/>
        <w:textAlignment w:val="auto"/>
        <w:rPr>
          <w:rFonts w:hint="eastAsia" w:eastAsia="宋体"/>
          <w:b w:val="0"/>
          <w:bCs w:val="0"/>
          <w:sz w:val="24"/>
          <w:szCs w:val="22"/>
          <w:lang w:val="en-US" w:eastAsia="zh-CN"/>
        </w:rPr>
      </w:pPr>
    </w:p>
    <w:p w14:paraId="530B58CF">
      <w:pPr>
        <w:keepNext w:val="0"/>
        <w:keepLines w:val="0"/>
        <w:pageBreakBefore w:val="0"/>
        <w:kinsoku/>
        <w:wordWrap/>
        <w:overflowPunct/>
        <w:topLinePunct w:val="0"/>
        <w:autoSpaceDE/>
        <w:autoSpaceDN/>
        <w:bidi w:val="0"/>
        <w:adjustRightInd/>
        <w:snapToGrid w:val="0"/>
        <w:spacing w:line="300" w:lineRule="exact"/>
        <w:jc w:val="both"/>
        <w:textAlignment w:val="auto"/>
        <w:rPr>
          <w:rFonts w:hint="eastAsia" w:eastAsia="宋体"/>
          <w:b w:val="0"/>
          <w:bCs w:val="0"/>
          <w:sz w:val="24"/>
          <w:szCs w:val="22"/>
          <w:lang w:val="en-US" w:eastAsia="zh-CN"/>
        </w:rPr>
      </w:pPr>
    </w:p>
    <w:p w14:paraId="293BD3B8">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b/>
          <w:color w:val="auto"/>
          <w:sz w:val="28"/>
          <w:szCs w:val="28"/>
          <w:lang w:val="en-US" w:eastAsia="zh-CN"/>
        </w:rPr>
      </w:pPr>
      <w:r>
        <w:rPr>
          <w:rFonts w:hint="eastAsia"/>
          <w:b/>
          <w:color w:val="auto"/>
          <w:sz w:val="28"/>
          <w:szCs w:val="28"/>
          <w:lang w:val="en-US" w:eastAsia="zh-CN"/>
        </w:rPr>
        <w:t>标准规范目录</w:t>
      </w:r>
    </w:p>
    <w:p w14:paraId="3E0829F4">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b/>
          <w:color w:val="auto"/>
          <w:sz w:val="28"/>
          <w:szCs w:val="28"/>
          <w:lang w:val="en-US" w:eastAsia="zh-CN"/>
        </w:rPr>
      </w:pPr>
    </w:p>
    <w:p w14:paraId="5542F1CE">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b w:val="0"/>
          <w:bCs/>
          <w:color w:val="auto"/>
          <w:sz w:val="24"/>
          <w:szCs w:val="24"/>
          <w:lang w:val="en-US" w:eastAsia="zh-CN"/>
        </w:rPr>
      </w:pPr>
      <w:r>
        <w:rPr>
          <w:rFonts w:hint="eastAsia"/>
          <w:b w:val="0"/>
          <w:bCs/>
          <w:color w:val="auto"/>
          <w:sz w:val="24"/>
          <w:szCs w:val="24"/>
          <w:lang w:val="en-US" w:eastAsia="zh-CN"/>
        </w:rPr>
        <w:t>暂无</w:t>
      </w:r>
    </w:p>
    <w:p w14:paraId="5FB56D6F">
      <w:pPr>
        <w:keepNext w:val="0"/>
        <w:keepLines w:val="0"/>
        <w:pageBreakBefore w:val="0"/>
        <w:kinsoku/>
        <w:wordWrap/>
        <w:overflowPunct/>
        <w:topLinePunct w:val="0"/>
        <w:autoSpaceDE/>
        <w:autoSpaceDN/>
        <w:bidi w:val="0"/>
        <w:adjustRightInd/>
        <w:snapToGrid w:val="0"/>
        <w:spacing w:line="300" w:lineRule="exact"/>
        <w:jc w:val="both"/>
        <w:textAlignment w:val="auto"/>
        <w:rPr>
          <w:rFonts w:hint="eastAsia" w:eastAsia="宋体"/>
          <w:b w:val="0"/>
          <w:bCs w:val="0"/>
          <w:sz w:val="24"/>
          <w:szCs w:val="22"/>
          <w:lang w:val="en-US" w:eastAsia="zh-CN"/>
        </w:rPr>
      </w:pPr>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4C5A65"/>
    <w:multiLevelType w:val="singleLevel"/>
    <w:tmpl w:val="A24C5A65"/>
    <w:lvl w:ilvl="0" w:tentative="0">
      <w:start w:val="1"/>
      <w:numFmt w:val="decimal"/>
      <w:suff w:val="nothing"/>
      <w:lvlText w:val="（%1）"/>
      <w:lvlJc w:val="left"/>
    </w:lvl>
  </w:abstractNum>
  <w:abstractNum w:abstractNumId="1">
    <w:nsid w:val="28736B13"/>
    <w:multiLevelType w:val="multilevel"/>
    <w:tmpl w:val="28736B1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C1124"/>
    <w:rsid w:val="67DC1124"/>
    <w:rsid w:val="6AED6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keepNext/>
      <w:spacing w:beforeLines="100" w:afterLines="50"/>
      <w:jc w:val="center"/>
      <w:outlineLvl w:val="0"/>
    </w:pPr>
    <w:rPr>
      <w:rFonts w:eastAsia="黑体"/>
      <w:b/>
      <w:sz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标题1工作手册"/>
    <w:basedOn w:val="2"/>
    <w:qFormat/>
    <w:uiPriority w:val="0"/>
    <w:pPr>
      <w:keepNext w:val="0"/>
      <w:tabs>
        <w:tab w:val="left" w:pos="3223"/>
      </w:tabs>
      <w:kinsoku w:val="0"/>
      <w:overflowPunct w:val="0"/>
      <w:autoSpaceDE w:val="0"/>
      <w:autoSpaceDN w:val="0"/>
      <w:adjustRightInd w:val="0"/>
      <w:snapToGrid w:val="0"/>
      <w:spacing w:beforeLines="0" w:afterLines="0"/>
    </w:pPr>
    <w:rPr>
      <w:rFonts w:ascii="华文中宋" w:hAnsi="华文中宋" w:eastAsia="宋体"/>
      <w:bCs/>
      <w:kern w:val="44"/>
      <w:sz w:val="36"/>
      <w:szCs w:val="36"/>
    </w:rPr>
  </w:style>
  <w:style w:type="paragraph" w:styleId="6">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2026-03-20T08:07:00Z</dcterms:created>
  <dc:creator>WPS_1660543838</dc:creator>
  <cp:lastModifiedBy>WPS_1660543838</cp:lastModifiedBy>
  <dcterms:modified xsi:type="dcterms:W3CDTF">2026-03-20T08:35:55Z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E89DC4FD63E64DEF9F9EA80B4D060BD9_11</vt:lpwstr>
  </property>
  <property fmtid="{D5CDD505-2E9C-101B-9397-08002B2CF9AE}" pid="4" name="KSOTemplateDocerSaveRecord">
    <vt:lpwstr>eyJoZGlkIjoiOGM4YjYzMWZlMDk1MGY3MzBmYjA1YjA5ZmJjMDljYTYiLCJ1c2VySWQiOiIxMzk5NTc4NTA1In0=</vt:lpwstr>
  </property>
</Properties>
</file>