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5A96D0" w14:textId="4CAC543E" w:rsidR="001C39B9" w:rsidRDefault="004F3D5E" w:rsidP="001C39B9">
      <w:pPr>
        <w:spacing w:beforeLines="50" w:before="156" w:afterLines="50" w:after="156" w:line="400" w:lineRule="exact"/>
        <w:jc w:val="center"/>
        <w:rPr>
          <w:rFonts w:ascii="方正小标宋简体" w:eastAsia="方正小标宋简体"/>
          <w:bCs/>
          <w:sz w:val="36"/>
          <w:szCs w:val="21"/>
        </w:rPr>
      </w:pPr>
      <w:r>
        <w:rPr>
          <w:rFonts w:ascii="方正小标宋简体" w:eastAsia="方正小标宋简体" w:hint="eastAsia"/>
          <w:bCs/>
          <w:kern w:val="0"/>
          <w:sz w:val="36"/>
          <w:szCs w:val="21"/>
        </w:rPr>
        <w:t>202</w:t>
      </w:r>
      <w:r w:rsidR="001A56E0">
        <w:rPr>
          <w:rFonts w:ascii="方正小标宋简体" w:eastAsia="方正小标宋简体"/>
          <w:bCs/>
          <w:kern w:val="0"/>
          <w:sz w:val="36"/>
          <w:szCs w:val="21"/>
        </w:rPr>
        <w:t>6</w:t>
      </w:r>
      <w:r>
        <w:rPr>
          <w:rFonts w:ascii="方正小标宋简体" w:eastAsia="方正小标宋简体" w:hint="eastAsia"/>
          <w:bCs/>
          <w:kern w:val="0"/>
          <w:sz w:val="36"/>
          <w:szCs w:val="21"/>
        </w:rPr>
        <w:t>年度湖北省科学技术奖公示</w:t>
      </w:r>
      <w:r w:rsidR="0025256C">
        <w:rPr>
          <w:rFonts w:ascii="方正小标宋简体" w:eastAsia="方正小标宋简体" w:hint="eastAsia"/>
          <w:bCs/>
          <w:kern w:val="0"/>
          <w:sz w:val="36"/>
          <w:szCs w:val="21"/>
        </w:rPr>
        <w:t>材料</w:t>
      </w:r>
      <w:r>
        <w:rPr>
          <w:rFonts w:ascii="方正小标宋简体" w:eastAsia="方正小标宋简体" w:hint="eastAsia"/>
          <w:bCs/>
          <w:kern w:val="0"/>
          <w:sz w:val="36"/>
          <w:szCs w:val="21"/>
        </w:rPr>
        <w:t>（自然科学）</w:t>
      </w:r>
    </w:p>
    <w:p w14:paraId="6158868C" w14:textId="77777777" w:rsidR="001C39B9" w:rsidRDefault="001C39B9" w:rsidP="001C39B9">
      <w:pPr>
        <w:spacing w:beforeLines="50" w:before="156" w:afterLines="50" w:after="156" w:line="400" w:lineRule="exact"/>
        <w:jc w:val="center"/>
        <w:rPr>
          <w:rFonts w:ascii="方正小标宋简体" w:eastAsia="方正小标宋简体"/>
          <w:bCs/>
          <w:sz w:val="36"/>
          <w:szCs w:val="21"/>
        </w:rPr>
      </w:pPr>
      <w:r>
        <w:rPr>
          <w:rFonts w:ascii="方正仿宋_GBK" w:eastAsia="方正仿宋_GBK" w:hint="eastAsia"/>
          <w:sz w:val="28"/>
        </w:rPr>
        <w:t>项目名称、提名者及提名意见、项目简介、代表性论文专著目录、主要完成人（完成单位）</w:t>
      </w:r>
    </w:p>
    <w:tbl>
      <w:tblPr>
        <w:tblStyle w:val="a4"/>
        <w:tblW w:w="13637" w:type="dxa"/>
        <w:jc w:val="center"/>
        <w:tblCellMar>
          <w:left w:w="0" w:type="dxa"/>
          <w:right w:w="0" w:type="dxa"/>
        </w:tblCellMar>
        <w:tblLook w:val="04A0" w:firstRow="1" w:lastRow="0" w:firstColumn="1" w:lastColumn="0" w:noHBand="0" w:noVBand="1"/>
      </w:tblPr>
      <w:tblGrid>
        <w:gridCol w:w="2263"/>
        <w:gridCol w:w="5775"/>
        <w:gridCol w:w="2799"/>
        <w:gridCol w:w="2800"/>
      </w:tblGrid>
      <w:tr w:rsidR="001C39B9" w14:paraId="0FFA6D22" w14:textId="77777777" w:rsidTr="00934FE4">
        <w:trPr>
          <w:trHeight w:val="476"/>
          <w:jc w:val="center"/>
        </w:trPr>
        <w:tc>
          <w:tcPr>
            <w:tcW w:w="2263" w:type="dxa"/>
            <w:vAlign w:val="center"/>
          </w:tcPr>
          <w:p w14:paraId="1C2E92A9" w14:textId="77777777" w:rsidR="001C39B9" w:rsidRDefault="001C39B9" w:rsidP="00537632">
            <w:pPr>
              <w:spacing w:line="240" w:lineRule="exact"/>
              <w:jc w:val="center"/>
              <w:rPr>
                <w:rFonts w:ascii="黑体" w:eastAsia="黑体" w:hAnsi="黑体" w:cs="黑体" w:hint="eastAsia"/>
                <w:sz w:val="22"/>
              </w:rPr>
            </w:pPr>
            <w:r>
              <w:rPr>
                <w:rFonts w:ascii="黑体" w:eastAsia="黑体" w:hAnsi="黑体" w:cs="黑体" w:hint="eastAsia"/>
                <w:sz w:val="22"/>
              </w:rPr>
              <w:t>项目名称</w:t>
            </w:r>
          </w:p>
        </w:tc>
        <w:tc>
          <w:tcPr>
            <w:tcW w:w="11374" w:type="dxa"/>
            <w:gridSpan w:val="3"/>
            <w:vAlign w:val="center"/>
          </w:tcPr>
          <w:p w14:paraId="41BD2327" w14:textId="7DA6F1DF" w:rsidR="001C39B9" w:rsidRDefault="00E57429" w:rsidP="00537632">
            <w:pPr>
              <w:spacing w:line="240" w:lineRule="exact"/>
              <w:jc w:val="center"/>
              <w:rPr>
                <w:rFonts w:ascii="黑体" w:eastAsia="黑体" w:hAnsi="黑体" w:cs="黑体" w:hint="eastAsia"/>
                <w:sz w:val="21"/>
                <w:szCs w:val="21"/>
              </w:rPr>
            </w:pPr>
            <w:r w:rsidRPr="00E57429">
              <w:rPr>
                <w:rFonts w:ascii="黑体" w:eastAsia="黑体" w:hAnsi="黑体" w:cs="黑体" w:hint="eastAsia"/>
                <w:sz w:val="21"/>
                <w:szCs w:val="21"/>
              </w:rPr>
              <w:t>水处理过渡金属异相催化氧化的调控机理与强化方法</w:t>
            </w:r>
          </w:p>
        </w:tc>
      </w:tr>
      <w:tr w:rsidR="00471497" w14:paraId="222613CB" w14:textId="77777777" w:rsidTr="00934FE4">
        <w:trPr>
          <w:trHeight w:val="476"/>
          <w:jc w:val="center"/>
        </w:trPr>
        <w:tc>
          <w:tcPr>
            <w:tcW w:w="2263" w:type="dxa"/>
            <w:vAlign w:val="center"/>
          </w:tcPr>
          <w:p w14:paraId="15395C4A" w14:textId="77777777" w:rsidR="00471497" w:rsidRDefault="00471497" w:rsidP="00537632">
            <w:pPr>
              <w:spacing w:line="240" w:lineRule="exact"/>
              <w:jc w:val="center"/>
              <w:rPr>
                <w:rFonts w:ascii="黑体" w:eastAsia="黑体" w:hAnsi="黑体" w:cs="黑体" w:hint="eastAsia"/>
                <w:sz w:val="22"/>
              </w:rPr>
            </w:pPr>
            <w:r>
              <w:rPr>
                <w:rFonts w:ascii="黑体" w:eastAsia="黑体" w:hAnsi="黑体" w:cs="黑体" w:hint="eastAsia"/>
                <w:sz w:val="22"/>
              </w:rPr>
              <w:t>提名单位</w:t>
            </w:r>
          </w:p>
        </w:tc>
        <w:tc>
          <w:tcPr>
            <w:tcW w:w="5775" w:type="dxa"/>
            <w:vAlign w:val="center"/>
          </w:tcPr>
          <w:p w14:paraId="38679F3B" w14:textId="77777777" w:rsidR="00471497" w:rsidRDefault="00471497" w:rsidP="00537632">
            <w:pPr>
              <w:spacing w:line="240" w:lineRule="exact"/>
              <w:jc w:val="center"/>
              <w:rPr>
                <w:rFonts w:ascii="宋体" w:eastAsia="宋体" w:hAnsi="宋体" w:cs="宋体" w:hint="eastAsia"/>
                <w:sz w:val="21"/>
                <w:szCs w:val="21"/>
              </w:rPr>
            </w:pPr>
            <w:r>
              <w:rPr>
                <w:rFonts w:ascii="宋体" w:eastAsia="宋体" w:hAnsi="宋体" w:cs="宋体" w:hint="eastAsia"/>
                <w:sz w:val="22"/>
                <w:szCs w:val="22"/>
              </w:rPr>
              <w:t>华中科技大学</w:t>
            </w:r>
          </w:p>
        </w:tc>
        <w:tc>
          <w:tcPr>
            <w:tcW w:w="2799" w:type="dxa"/>
            <w:vAlign w:val="center"/>
          </w:tcPr>
          <w:p w14:paraId="23AD91B4" w14:textId="3395BE42" w:rsidR="00471497" w:rsidRDefault="00471497" w:rsidP="00537632">
            <w:pPr>
              <w:spacing w:line="240" w:lineRule="exact"/>
              <w:jc w:val="center"/>
              <w:rPr>
                <w:rFonts w:ascii="宋体" w:eastAsia="宋体" w:hAnsi="宋体" w:cs="宋体" w:hint="eastAsia"/>
                <w:sz w:val="21"/>
                <w:szCs w:val="21"/>
              </w:rPr>
            </w:pPr>
            <w:r>
              <w:rPr>
                <w:rFonts w:ascii="黑体" w:eastAsia="黑体" w:hAnsi="黑体" w:cs="黑体" w:hint="eastAsia"/>
                <w:sz w:val="22"/>
              </w:rPr>
              <w:t>提名等级</w:t>
            </w:r>
          </w:p>
        </w:tc>
        <w:tc>
          <w:tcPr>
            <w:tcW w:w="2800" w:type="dxa"/>
            <w:vAlign w:val="center"/>
          </w:tcPr>
          <w:p w14:paraId="5496396E" w14:textId="0899F67F" w:rsidR="00471497" w:rsidRDefault="00E57429" w:rsidP="00537632">
            <w:pPr>
              <w:spacing w:line="240" w:lineRule="exact"/>
              <w:jc w:val="center"/>
              <w:rPr>
                <w:rFonts w:ascii="宋体" w:eastAsia="宋体" w:hAnsi="宋体" w:cs="宋体" w:hint="eastAsia"/>
                <w:sz w:val="21"/>
                <w:szCs w:val="21"/>
              </w:rPr>
            </w:pPr>
            <w:r>
              <w:rPr>
                <w:rFonts w:ascii="宋体" w:eastAsia="宋体" w:hAnsi="宋体" w:cs="宋体" w:hint="eastAsia"/>
                <w:sz w:val="21"/>
                <w:szCs w:val="21"/>
              </w:rPr>
              <w:t>一等奖</w:t>
            </w:r>
          </w:p>
        </w:tc>
      </w:tr>
      <w:tr w:rsidR="001C39B9" w14:paraId="3EC7DD90" w14:textId="77777777" w:rsidTr="00934FE4">
        <w:trPr>
          <w:trHeight w:val="1083"/>
          <w:jc w:val="center"/>
        </w:trPr>
        <w:tc>
          <w:tcPr>
            <w:tcW w:w="2263" w:type="dxa"/>
            <w:vAlign w:val="center"/>
          </w:tcPr>
          <w:p w14:paraId="29D21CA1" w14:textId="77777777" w:rsidR="001C39B9" w:rsidRDefault="001C39B9" w:rsidP="00537632">
            <w:pPr>
              <w:spacing w:line="240" w:lineRule="exact"/>
              <w:jc w:val="center"/>
              <w:rPr>
                <w:rFonts w:ascii="黑体" w:eastAsia="黑体" w:hAnsi="黑体" w:cs="黑体" w:hint="eastAsia"/>
                <w:sz w:val="22"/>
              </w:rPr>
            </w:pPr>
            <w:r>
              <w:rPr>
                <w:rFonts w:ascii="黑体" w:eastAsia="黑体" w:hAnsi="黑体" w:cs="黑体" w:hint="eastAsia"/>
                <w:sz w:val="22"/>
              </w:rPr>
              <w:t>提名意见</w:t>
            </w:r>
          </w:p>
        </w:tc>
        <w:tc>
          <w:tcPr>
            <w:tcW w:w="11374" w:type="dxa"/>
            <w:gridSpan w:val="3"/>
            <w:vAlign w:val="center"/>
          </w:tcPr>
          <w:p w14:paraId="2E6F35FA" w14:textId="77777777" w:rsidR="00E57429" w:rsidRPr="00E57429" w:rsidRDefault="00E57429" w:rsidP="00E57429">
            <w:pPr>
              <w:spacing w:line="240" w:lineRule="exact"/>
              <w:ind w:firstLineChars="200" w:firstLine="448"/>
              <w:jc w:val="both"/>
              <w:rPr>
                <w:rFonts w:eastAsia="宋体" w:cs="Times New Roman"/>
                <w:color w:val="000000"/>
                <w:spacing w:val="2"/>
                <w:sz w:val="22"/>
                <w:szCs w:val="22"/>
                <w:lang w:bidi="ar"/>
              </w:rPr>
            </w:pPr>
            <w:r w:rsidRPr="00E57429">
              <w:rPr>
                <w:rFonts w:eastAsia="宋体" w:cs="Times New Roman"/>
                <w:color w:val="000000"/>
                <w:spacing w:val="2"/>
                <w:sz w:val="22"/>
                <w:szCs w:val="22"/>
                <w:lang w:bidi="ar"/>
              </w:rPr>
              <w:t>异相催化氧化技术作为实现污水深度净化与资源化利用的关键技术路径，对破解我国水资源短缺困局、支撑生态文明建设具有重大战略意义。然而，该技术体系在基础理论层面仍存在突出的科学瓶颈：</w:t>
            </w:r>
            <w:r w:rsidRPr="00E57429">
              <w:rPr>
                <w:rFonts w:eastAsia="宋体" w:cs="Times New Roman"/>
                <w:color w:val="000000"/>
                <w:spacing w:val="2"/>
                <w:sz w:val="22"/>
                <w:szCs w:val="22"/>
                <w:lang w:bidi="ar"/>
              </w:rPr>
              <w:t>1</w:t>
            </w:r>
            <w:r w:rsidRPr="00E57429">
              <w:rPr>
                <w:rFonts w:eastAsia="宋体" w:cs="Times New Roman"/>
                <w:color w:val="000000"/>
                <w:spacing w:val="2"/>
                <w:sz w:val="22"/>
                <w:szCs w:val="22"/>
                <w:lang w:bidi="ar"/>
              </w:rPr>
              <w:t>）痕量高毒性新污染物去除难（靶向性差）；</w:t>
            </w:r>
            <w:r w:rsidRPr="00E57429">
              <w:rPr>
                <w:rFonts w:eastAsia="宋体" w:cs="Times New Roman"/>
                <w:color w:val="000000"/>
                <w:spacing w:val="2"/>
                <w:sz w:val="22"/>
                <w:szCs w:val="22"/>
                <w:lang w:bidi="ar"/>
              </w:rPr>
              <w:t>2</w:t>
            </w:r>
            <w:r w:rsidRPr="00E57429">
              <w:rPr>
                <w:rFonts w:eastAsia="宋体" w:cs="Times New Roman"/>
                <w:color w:val="000000"/>
                <w:spacing w:val="2"/>
                <w:sz w:val="22"/>
                <w:szCs w:val="22"/>
                <w:lang w:bidi="ar"/>
              </w:rPr>
              <w:t>）替代氧化剂绿色分子氧活化难（广谱性差）；</w:t>
            </w:r>
            <w:r w:rsidRPr="00E57429">
              <w:rPr>
                <w:rFonts w:eastAsia="宋体" w:cs="Times New Roman"/>
                <w:color w:val="000000"/>
                <w:spacing w:val="2"/>
                <w:sz w:val="22"/>
                <w:szCs w:val="22"/>
                <w:lang w:bidi="ar"/>
              </w:rPr>
              <w:t>3</w:t>
            </w:r>
            <w:r w:rsidRPr="00E57429">
              <w:rPr>
                <w:rFonts w:eastAsia="宋体" w:cs="Times New Roman"/>
                <w:color w:val="000000"/>
                <w:spacing w:val="2"/>
                <w:sz w:val="22"/>
                <w:szCs w:val="22"/>
                <w:lang w:bidi="ar"/>
              </w:rPr>
              <w:t>）工业有机废水高效矿化难（动力学缓），严重制约了减污降碳时代废水深度氧化技术的大规模工程应用。</w:t>
            </w:r>
          </w:p>
          <w:p w14:paraId="63408F57" w14:textId="4CC4E5A8" w:rsidR="001C39B9" w:rsidRPr="00E57429" w:rsidRDefault="00E57429" w:rsidP="00E57429">
            <w:pPr>
              <w:spacing w:line="240" w:lineRule="exact"/>
              <w:ind w:firstLineChars="200" w:firstLine="448"/>
              <w:jc w:val="both"/>
              <w:rPr>
                <w:rFonts w:eastAsia="宋体" w:cs="Times New Roman"/>
                <w:color w:val="000000"/>
                <w:sz w:val="22"/>
                <w:lang w:bidi="ar"/>
              </w:rPr>
            </w:pPr>
            <w:r w:rsidRPr="00E57429">
              <w:rPr>
                <w:rFonts w:eastAsia="宋体" w:cs="Times New Roman"/>
                <w:color w:val="000000"/>
                <w:spacing w:val="2"/>
                <w:sz w:val="22"/>
                <w:szCs w:val="22"/>
                <w:lang w:bidi="ar"/>
              </w:rPr>
              <w:t>该项目围绕氧化剂的界面选择性活化调控机理及强化方法，取得三方面创新成果：</w:t>
            </w:r>
            <w:r w:rsidRPr="00E57429">
              <w:rPr>
                <w:rFonts w:eastAsia="宋体" w:cs="Times New Roman"/>
                <w:color w:val="000000"/>
                <w:spacing w:val="2"/>
                <w:sz w:val="22"/>
                <w:szCs w:val="22"/>
                <w:lang w:bidi="ar"/>
              </w:rPr>
              <w:t>1</w:t>
            </w:r>
            <w:r w:rsidRPr="00E57429">
              <w:rPr>
                <w:rFonts w:eastAsia="宋体" w:cs="Times New Roman"/>
                <w:color w:val="000000"/>
                <w:spacing w:val="2"/>
                <w:sz w:val="22"/>
                <w:szCs w:val="22"/>
                <w:lang w:bidi="ar"/>
              </w:rPr>
              <w:t>）提出了高价金属</w:t>
            </w:r>
            <w:r w:rsidRPr="00E57429">
              <w:rPr>
                <w:rFonts w:eastAsia="宋体" w:cs="Times New Roman"/>
                <w:color w:val="000000"/>
                <w:spacing w:val="2"/>
                <w:sz w:val="22"/>
                <w:szCs w:val="22"/>
                <w:lang w:bidi="ar"/>
              </w:rPr>
              <w:t>/</w:t>
            </w:r>
            <w:r w:rsidRPr="00E57429">
              <w:rPr>
                <w:rFonts w:eastAsia="宋体" w:cs="Times New Roman"/>
                <w:color w:val="000000"/>
                <w:spacing w:val="2"/>
                <w:sz w:val="22"/>
                <w:szCs w:val="22"/>
                <w:lang w:bidi="ar"/>
              </w:rPr>
              <w:t>苯氧自由基介导的新污染物非自由基氧化降解新理论；</w:t>
            </w:r>
            <w:r w:rsidRPr="00E57429">
              <w:rPr>
                <w:rFonts w:eastAsia="宋体" w:cs="Times New Roman"/>
                <w:color w:val="000000"/>
                <w:spacing w:val="2"/>
                <w:sz w:val="22"/>
                <w:szCs w:val="22"/>
                <w:lang w:bidi="ar"/>
              </w:rPr>
              <w:t>2</w:t>
            </w:r>
            <w:r w:rsidRPr="00E57429">
              <w:rPr>
                <w:rFonts w:eastAsia="宋体" w:cs="Times New Roman"/>
                <w:color w:val="000000"/>
                <w:spacing w:val="2"/>
                <w:sz w:val="22"/>
                <w:szCs w:val="22"/>
                <w:lang w:bidi="ar"/>
              </w:rPr>
              <w:t>）发现了还原态</w:t>
            </w:r>
            <w:r w:rsidRPr="00E57429">
              <w:rPr>
                <w:rFonts w:eastAsia="宋体" w:cs="Times New Roman"/>
                <w:color w:val="000000"/>
                <w:spacing w:val="2"/>
                <w:sz w:val="22"/>
                <w:szCs w:val="22"/>
                <w:lang w:bidi="ar"/>
              </w:rPr>
              <w:t>/</w:t>
            </w:r>
            <w:r w:rsidRPr="00E57429">
              <w:rPr>
                <w:rFonts w:eastAsia="宋体" w:cs="Times New Roman"/>
                <w:color w:val="000000"/>
                <w:spacing w:val="2"/>
                <w:sz w:val="22"/>
                <w:szCs w:val="22"/>
                <w:lang w:bidi="ar"/>
              </w:rPr>
              <w:t>非还原态催化界面加速分子氧活化的新机制；</w:t>
            </w:r>
            <w:r w:rsidRPr="00E57429">
              <w:rPr>
                <w:rFonts w:eastAsia="宋体" w:cs="Times New Roman"/>
                <w:color w:val="000000"/>
                <w:spacing w:val="2"/>
                <w:sz w:val="22"/>
                <w:szCs w:val="22"/>
                <w:lang w:bidi="ar"/>
              </w:rPr>
              <w:t>3</w:t>
            </w:r>
            <w:r w:rsidRPr="00E57429">
              <w:rPr>
                <w:rFonts w:eastAsia="宋体" w:cs="Times New Roman"/>
                <w:color w:val="000000"/>
                <w:spacing w:val="2"/>
                <w:sz w:val="22"/>
                <w:szCs w:val="22"/>
                <w:lang w:bidi="ar"/>
              </w:rPr>
              <w:t>）创制了场协同界面传质</w:t>
            </w:r>
            <w:r w:rsidRPr="00E57429">
              <w:rPr>
                <w:rFonts w:eastAsia="宋体" w:cs="Times New Roman"/>
                <w:color w:val="000000"/>
                <w:spacing w:val="2"/>
                <w:sz w:val="22"/>
                <w:szCs w:val="22"/>
                <w:lang w:bidi="ar"/>
              </w:rPr>
              <w:t>/</w:t>
            </w:r>
            <w:r w:rsidRPr="00E57429">
              <w:rPr>
                <w:rFonts w:eastAsia="宋体" w:cs="Times New Roman"/>
                <w:color w:val="000000"/>
                <w:spacing w:val="2"/>
                <w:sz w:val="22"/>
                <w:szCs w:val="22"/>
                <w:lang w:bidi="ar"/>
              </w:rPr>
              <w:t>电子传输强化废水自由基氧化的新方法。研究成果为异相催化氧化水处理技术基础理论的发展做出了重要的贡献。该项目</w:t>
            </w:r>
            <w:r w:rsidRPr="00E57429">
              <w:rPr>
                <w:rFonts w:eastAsia="宋体" w:cs="Times New Roman"/>
                <w:color w:val="000000"/>
                <w:spacing w:val="2"/>
                <w:sz w:val="22"/>
                <w:szCs w:val="22"/>
                <w:lang w:bidi="ar"/>
              </w:rPr>
              <w:t>5</w:t>
            </w:r>
            <w:r w:rsidRPr="00E57429">
              <w:rPr>
                <w:rFonts w:eastAsia="宋体" w:cs="Times New Roman"/>
                <w:color w:val="000000"/>
                <w:spacing w:val="2"/>
                <w:sz w:val="22"/>
                <w:szCs w:val="22"/>
                <w:lang w:bidi="ar"/>
              </w:rPr>
              <w:t>篇代表作发表于</w:t>
            </w:r>
            <w:r w:rsidRPr="00E57429">
              <w:rPr>
                <w:rFonts w:eastAsia="宋体" w:cs="Times New Roman"/>
                <w:color w:val="000000"/>
                <w:spacing w:val="2"/>
                <w:sz w:val="22"/>
                <w:szCs w:val="22"/>
                <w:lang w:bidi="ar"/>
              </w:rPr>
              <w:t>PNAS(1)</w:t>
            </w:r>
            <w:r w:rsidRPr="00E57429">
              <w:rPr>
                <w:rFonts w:eastAsia="宋体" w:cs="Times New Roman"/>
                <w:color w:val="000000"/>
                <w:spacing w:val="2"/>
                <w:sz w:val="22"/>
                <w:szCs w:val="22"/>
                <w:lang w:bidi="ar"/>
              </w:rPr>
              <w:t>、</w:t>
            </w:r>
            <w:r w:rsidRPr="00E57429">
              <w:rPr>
                <w:rFonts w:eastAsia="宋体" w:cs="Times New Roman"/>
                <w:color w:val="000000"/>
                <w:spacing w:val="2"/>
                <w:sz w:val="22"/>
                <w:szCs w:val="22"/>
                <w:lang w:bidi="ar"/>
              </w:rPr>
              <w:t>Adv. Mater.(1)</w:t>
            </w:r>
            <w:r w:rsidRPr="00E57429">
              <w:rPr>
                <w:rFonts w:eastAsia="宋体" w:cs="Times New Roman"/>
                <w:color w:val="000000"/>
                <w:spacing w:val="2"/>
                <w:sz w:val="22"/>
                <w:szCs w:val="22"/>
                <w:lang w:bidi="ar"/>
              </w:rPr>
              <w:t>、</w:t>
            </w:r>
            <w:r w:rsidRPr="00E57429">
              <w:rPr>
                <w:rFonts w:eastAsia="宋体" w:cs="Times New Roman"/>
                <w:color w:val="000000"/>
                <w:spacing w:val="2"/>
                <w:sz w:val="22"/>
                <w:szCs w:val="22"/>
                <w:lang w:bidi="ar"/>
              </w:rPr>
              <w:t>Environ. Sci. Technol.(1)</w:t>
            </w:r>
            <w:r w:rsidRPr="00E57429">
              <w:rPr>
                <w:rFonts w:eastAsia="宋体" w:cs="Times New Roman"/>
                <w:color w:val="000000"/>
                <w:spacing w:val="2"/>
                <w:sz w:val="22"/>
                <w:szCs w:val="22"/>
                <w:lang w:bidi="ar"/>
              </w:rPr>
              <w:t>和</w:t>
            </w:r>
            <w:r w:rsidRPr="00E57429">
              <w:rPr>
                <w:rFonts w:eastAsia="宋体" w:cs="Times New Roman"/>
                <w:color w:val="000000"/>
                <w:spacing w:val="2"/>
                <w:sz w:val="22"/>
                <w:szCs w:val="22"/>
                <w:lang w:bidi="ar"/>
              </w:rPr>
              <w:t>Chin. Chem. Lett.</w:t>
            </w:r>
            <w:r w:rsidRPr="00E57429">
              <w:rPr>
                <w:rFonts w:eastAsia="宋体" w:cs="Times New Roman"/>
                <w:color w:val="000000"/>
                <w:spacing w:val="2"/>
                <w:sz w:val="22"/>
                <w:szCs w:val="22"/>
                <w:lang w:bidi="ar"/>
              </w:rPr>
              <w:t>（中国化学快报）</w:t>
            </w:r>
            <w:r w:rsidRPr="00E57429">
              <w:rPr>
                <w:rFonts w:eastAsia="宋体" w:cs="Times New Roman"/>
                <w:color w:val="000000"/>
                <w:spacing w:val="2"/>
                <w:sz w:val="22"/>
                <w:szCs w:val="22"/>
                <w:lang w:bidi="ar"/>
              </w:rPr>
              <w:t>(2)</w:t>
            </w:r>
            <w:r w:rsidRPr="00E57429">
              <w:rPr>
                <w:rFonts w:eastAsia="宋体" w:cs="Times New Roman"/>
                <w:color w:val="000000"/>
                <w:spacing w:val="2"/>
                <w:sz w:val="22"/>
                <w:szCs w:val="22"/>
                <w:lang w:bidi="ar"/>
              </w:rPr>
              <w:t>等国内外权威期刊，其中</w:t>
            </w:r>
            <w:r w:rsidRPr="00E57429">
              <w:rPr>
                <w:rFonts w:eastAsia="宋体" w:cs="Times New Roman"/>
                <w:color w:val="000000"/>
                <w:spacing w:val="2"/>
                <w:sz w:val="22"/>
                <w:szCs w:val="22"/>
                <w:lang w:bidi="ar"/>
              </w:rPr>
              <w:t>ESI</w:t>
            </w:r>
            <w:r w:rsidRPr="00E57429">
              <w:rPr>
                <w:rFonts w:eastAsia="宋体" w:cs="Times New Roman"/>
                <w:color w:val="000000"/>
                <w:spacing w:val="2"/>
                <w:sz w:val="22"/>
                <w:szCs w:val="22"/>
                <w:lang w:bidi="ar"/>
              </w:rPr>
              <w:t>高被引论文</w:t>
            </w:r>
            <w:r w:rsidRPr="00E57429">
              <w:rPr>
                <w:rFonts w:eastAsia="宋体" w:cs="Times New Roman"/>
                <w:color w:val="000000"/>
                <w:spacing w:val="2"/>
                <w:sz w:val="22"/>
                <w:szCs w:val="22"/>
                <w:lang w:bidi="ar"/>
              </w:rPr>
              <w:t>2</w:t>
            </w:r>
            <w:r w:rsidRPr="00E57429">
              <w:rPr>
                <w:rFonts w:eastAsia="宋体" w:cs="Times New Roman"/>
                <w:color w:val="000000"/>
                <w:spacing w:val="2"/>
                <w:sz w:val="22"/>
                <w:szCs w:val="22"/>
                <w:lang w:bidi="ar"/>
              </w:rPr>
              <w:t>篇，总他引</w:t>
            </w:r>
            <w:r w:rsidR="004D4BB5">
              <w:rPr>
                <w:rFonts w:eastAsia="宋体" w:cs="Times New Roman" w:hint="eastAsia"/>
                <w:color w:val="000000"/>
                <w:spacing w:val="2"/>
                <w:sz w:val="22"/>
                <w:szCs w:val="22"/>
                <w:lang w:bidi="ar"/>
              </w:rPr>
              <w:t>747</w:t>
            </w:r>
            <w:r w:rsidRPr="00E57429">
              <w:rPr>
                <w:rFonts w:eastAsia="宋体" w:cs="Times New Roman"/>
                <w:color w:val="000000"/>
                <w:spacing w:val="2"/>
                <w:sz w:val="22"/>
                <w:szCs w:val="22"/>
                <w:lang w:bidi="ar"/>
              </w:rPr>
              <w:t>次，单篇最高他引</w:t>
            </w:r>
            <w:r w:rsidR="001A3FE2">
              <w:rPr>
                <w:rFonts w:eastAsia="宋体" w:cs="Times New Roman" w:hint="eastAsia"/>
                <w:color w:val="000000"/>
                <w:spacing w:val="2"/>
                <w:sz w:val="22"/>
                <w:szCs w:val="22"/>
                <w:lang w:bidi="ar"/>
              </w:rPr>
              <w:t>350</w:t>
            </w:r>
            <w:r w:rsidRPr="00E57429">
              <w:rPr>
                <w:rFonts w:eastAsia="宋体" w:cs="Times New Roman"/>
                <w:color w:val="000000"/>
                <w:spacing w:val="2"/>
                <w:sz w:val="22"/>
                <w:szCs w:val="22"/>
                <w:lang w:bidi="ar"/>
              </w:rPr>
              <w:t>次，培养了国家级青年人才</w:t>
            </w:r>
            <w:r w:rsidRPr="00E57429">
              <w:rPr>
                <w:rFonts w:eastAsia="宋体" w:cs="Times New Roman"/>
                <w:color w:val="000000"/>
                <w:spacing w:val="2"/>
                <w:sz w:val="22"/>
                <w:szCs w:val="22"/>
                <w:lang w:bidi="ar"/>
              </w:rPr>
              <w:t>1</w:t>
            </w:r>
            <w:r w:rsidRPr="00E57429">
              <w:rPr>
                <w:rFonts w:eastAsia="宋体" w:cs="Times New Roman"/>
                <w:color w:val="000000"/>
                <w:spacing w:val="2"/>
                <w:sz w:val="22"/>
                <w:szCs w:val="22"/>
                <w:lang w:bidi="ar"/>
              </w:rPr>
              <w:t>名，省级人才</w:t>
            </w:r>
            <w:r w:rsidRPr="00E57429">
              <w:rPr>
                <w:rFonts w:eastAsia="宋体" w:cs="Times New Roman"/>
                <w:color w:val="000000"/>
                <w:spacing w:val="2"/>
                <w:sz w:val="22"/>
                <w:szCs w:val="22"/>
                <w:lang w:bidi="ar"/>
              </w:rPr>
              <w:t>2</w:t>
            </w:r>
            <w:r w:rsidRPr="00E57429">
              <w:rPr>
                <w:rFonts w:eastAsia="宋体" w:cs="Times New Roman"/>
                <w:color w:val="000000"/>
                <w:spacing w:val="2"/>
                <w:sz w:val="22"/>
                <w:szCs w:val="22"/>
                <w:lang w:bidi="ar"/>
              </w:rPr>
              <w:t>名。研究成果为水处理异相催化氧化基础理论的发展做出了重要贡献，被</w:t>
            </w:r>
            <w:r w:rsidRPr="00E57429">
              <w:rPr>
                <w:rFonts w:eastAsia="宋体" w:cs="Times New Roman"/>
                <w:color w:val="000000"/>
                <w:spacing w:val="2"/>
                <w:sz w:val="22"/>
                <w:szCs w:val="22"/>
                <w:lang w:bidi="ar"/>
              </w:rPr>
              <w:t>Nat. Commun.</w:t>
            </w:r>
            <w:r w:rsidRPr="00E57429">
              <w:rPr>
                <w:rFonts w:eastAsia="宋体" w:cs="Times New Roman"/>
                <w:color w:val="000000"/>
                <w:spacing w:val="2"/>
                <w:sz w:val="22"/>
                <w:szCs w:val="22"/>
                <w:lang w:bidi="ar"/>
              </w:rPr>
              <w:t>、</w:t>
            </w:r>
            <w:r w:rsidRPr="00E57429">
              <w:rPr>
                <w:rFonts w:eastAsia="宋体" w:cs="Times New Roman"/>
                <w:color w:val="000000"/>
                <w:spacing w:val="2"/>
                <w:sz w:val="22"/>
                <w:szCs w:val="22"/>
                <w:lang w:bidi="ar"/>
              </w:rPr>
              <w:t>PNAS</w:t>
            </w:r>
            <w:r w:rsidRPr="00E57429">
              <w:rPr>
                <w:rFonts w:eastAsia="宋体" w:cs="Times New Roman"/>
                <w:color w:val="000000"/>
                <w:spacing w:val="2"/>
                <w:sz w:val="22"/>
                <w:szCs w:val="22"/>
                <w:lang w:bidi="ar"/>
              </w:rPr>
              <w:t>、</w:t>
            </w:r>
            <w:r w:rsidRPr="00E57429">
              <w:rPr>
                <w:rFonts w:eastAsia="宋体" w:cs="Times New Roman"/>
                <w:color w:val="000000"/>
                <w:spacing w:val="2"/>
                <w:sz w:val="22"/>
                <w:szCs w:val="22"/>
                <w:lang w:bidi="ar"/>
              </w:rPr>
              <w:t>Angew. Chem. Int. Ed.</w:t>
            </w:r>
            <w:r w:rsidRPr="00E57429">
              <w:rPr>
                <w:rFonts w:eastAsia="宋体" w:cs="Times New Roman"/>
                <w:color w:val="000000"/>
                <w:spacing w:val="2"/>
                <w:sz w:val="22"/>
                <w:szCs w:val="22"/>
                <w:lang w:bidi="ar"/>
              </w:rPr>
              <w:t>等国际著名</w:t>
            </w:r>
            <w:r w:rsidRPr="00E57429">
              <w:rPr>
                <w:rFonts w:eastAsia="宋体" w:cs="Times New Roman"/>
                <w:color w:val="000000"/>
                <w:spacing w:val="2"/>
                <w:sz w:val="22"/>
                <w:szCs w:val="22"/>
                <w:lang w:bidi="ar"/>
              </w:rPr>
              <w:t>SCI</w:t>
            </w:r>
            <w:r w:rsidRPr="00E57429">
              <w:rPr>
                <w:rFonts w:eastAsia="宋体" w:cs="Times New Roman"/>
                <w:color w:val="000000"/>
                <w:spacing w:val="2"/>
                <w:sz w:val="22"/>
                <w:szCs w:val="22"/>
                <w:lang w:bidi="ar"/>
              </w:rPr>
              <w:t>刊物多次正面引用，美国工程院</w:t>
            </w:r>
            <w:r w:rsidRPr="00E57429">
              <w:rPr>
                <w:rFonts w:eastAsia="宋体" w:cs="Times New Roman"/>
                <w:color w:val="000000"/>
                <w:spacing w:val="2"/>
                <w:sz w:val="22"/>
                <w:szCs w:val="22"/>
                <w:lang w:bidi="ar"/>
              </w:rPr>
              <w:t>Pedro J. J. Alvarez</w:t>
            </w:r>
            <w:r w:rsidRPr="00E57429">
              <w:rPr>
                <w:rFonts w:eastAsia="宋体" w:cs="Times New Roman"/>
                <w:color w:val="000000"/>
                <w:spacing w:val="2"/>
                <w:sz w:val="22"/>
                <w:szCs w:val="22"/>
                <w:lang w:bidi="ar"/>
              </w:rPr>
              <w:t>院士、耶鲁大学</w:t>
            </w:r>
            <w:r w:rsidRPr="00E57429">
              <w:rPr>
                <w:rFonts w:eastAsia="宋体" w:cs="Times New Roman"/>
                <w:color w:val="000000"/>
                <w:spacing w:val="2"/>
                <w:sz w:val="22"/>
                <w:szCs w:val="22"/>
                <w:lang w:bidi="ar"/>
              </w:rPr>
              <w:t>Joseph J. Pignatello</w:t>
            </w:r>
            <w:r w:rsidRPr="00E57429">
              <w:rPr>
                <w:rFonts w:eastAsia="宋体" w:cs="Times New Roman"/>
                <w:color w:val="000000"/>
                <w:spacing w:val="2"/>
                <w:sz w:val="22"/>
                <w:szCs w:val="22"/>
                <w:lang w:bidi="ar"/>
              </w:rPr>
              <w:t>教授、哈尔滨工业大学任南琪院士等国内外知名同行专家给予了高度评价。基于项目理论研究成果，团队开发了一系列异相催化氧化技术与装备并成功应用，取得了显著的社会、经济和环境效益。</w:t>
            </w:r>
          </w:p>
        </w:tc>
      </w:tr>
      <w:tr w:rsidR="001C39B9" w14:paraId="00E53F18" w14:textId="77777777" w:rsidTr="00934FE4">
        <w:trPr>
          <w:trHeight w:val="476"/>
          <w:jc w:val="center"/>
        </w:trPr>
        <w:tc>
          <w:tcPr>
            <w:tcW w:w="2263" w:type="dxa"/>
            <w:vAlign w:val="center"/>
          </w:tcPr>
          <w:p w14:paraId="148BB8CE" w14:textId="77777777" w:rsidR="001C39B9" w:rsidRDefault="001C39B9" w:rsidP="00537632">
            <w:pPr>
              <w:spacing w:line="240" w:lineRule="exact"/>
              <w:jc w:val="center"/>
              <w:rPr>
                <w:sz w:val="22"/>
              </w:rPr>
            </w:pPr>
            <w:r>
              <w:rPr>
                <w:rFonts w:ascii="黑体" w:eastAsia="黑体" w:hAnsi="黑体" w:cs="黑体" w:hint="eastAsia"/>
                <w:sz w:val="22"/>
              </w:rPr>
              <w:t>项目简介</w:t>
            </w:r>
          </w:p>
        </w:tc>
        <w:tc>
          <w:tcPr>
            <w:tcW w:w="11374" w:type="dxa"/>
            <w:gridSpan w:val="3"/>
            <w:vAlign w:val="center"/>
          </w:tcPr>
          <w:p w14:paraId="7720B344" w14:textId="77777777" w:rsidR="00E57429" w:rsidRPr="00E57429" w:rsidRDefault="00E57429" w:rsidP="00E57429">
            <w:pPr>
              <w:spacing w:line="240" w:lineRule="exact"/>
              <w:ind w:firstLineChars="200" w:firstLine="420"/>
              <w:jc w:val="both"/>
              <w:rPr>
                <w:rFonts w:eastAsia="宋体" w:cs="Times New Roman"/>
                <w:sz w:val="21"/>
                <w:szCs w:val="21"/>
              </w:rPr>
            </w:pPr>
            <w:bookmarkStart w:id="0" w:name="_Hlk194316021"/>
            <w:bookmarkStart w:id="1" w:name="_Hlk198826146"/>
            <w:r w:rsidRPr="00E57429">
              <w:rPr>
                <w:rFonts w:eastAsia="宋体" w:cs="Times New Roman"/>
                <w:sz w:val="21"/>
                <w:szCs w:val="21"/>
              </w:rPr>
              <w:t>异相催化氧化可生成高活性的自由基或非自由基物种，被广泛公认为去除难降解复杂有机污染物的理想技术，是实现污水深度净化与资源化利用的关键支撑，对推动中国生态文明高质量发展具有重要战略意义。该技术的核心基础在于界面上氧化剂向活性物种的转化利用行为及其调控，但在水处理过程中极易受到自由基歧化反应和本底杂质的影响，导致其面临痕量高毒性新污染物去除难（靶向性差）、替代氧化剂绿色分子氧活化难（广谱性差）、工业有机废水高效矿化难（动力学缓）等关键瓶颈，严重制约了减污降碳时代废水深度氧化技术的大规模工程应用。因此，本项目通过材料、机理与方法的协同创新，提出了双途径介导的非自由基氧化降解有机物新理论，发现了还原态</w:t>
            </w:r>
            <w:r w:rsidRPr="00E57429">
              <w:rPr>
                <w:rFonts w:eastAsia="宋体" w:cs="Times New Roman"/>
                <w:sz w:val="21"/>
                <w:szCs w:val="21"/>
              </w:rPr>
              <w:t>/</w:t>
            </w:r>
            <w:r w:rsidRPr="00E57429">
              <w:rPr>
                <w:rFonts w:eastAsia="宋体" w:cs="Times New Roman"/>
                <w:sz w:val="21"/>
                <w:szCs w:val="21"/>
              </w:rPr>
              <w:t>非还原态催化界面的分子氧活化新机制，创制了物理场协同界面传质</w:t>
            </w:r>
            <w:r w:rsidRPr="00E57429">
              <w:rPr>
                <w:rFonts w:eastAsia="宋体" w:cs="Times New Roman"/>
                <w:sz w:val="21"/>
                <w:szCs w:val="21"/>
              </w:rPr>
              <w:t>/</w:t>
            </w:r>
            <w:r w:rsidRPr="00E57429">
              <w:rPr>
                <w:rFonts w:eastAsia="宋体" w:cs="Times New Roman"/>
                <w:sz w:val="21"/>
                <w:szCs w:val="21"/>
              </w:rPr>
              <w:t>电子传输强化废水自由基氧化的新方法，在靶向选择、绿色广谱和深度矿化三个方面实现了多元水处理场景中难降解有机污染物精准治理效能的突破。该项目的主要科学发现如下：</w:t>
            </w:r>
          </w:p>
          <w:p w14:paraId="3C8A288C" w14:textId="77777777" w:rsidR="00E57429" w:rsidRPr="00E57429" w:rsidRDefault="00E57429" w:rsidP="00E57429">
            <w:pPr>
              <w:spacing w:line="240" w:lineRule="exact"/>
              <w:ind w:firstLineChars="200" w:firstLine="420"/>
              <w:jc w:val="both"/>
              <w:rPr>
                <w:rFonts w:eastAsia="宋体" w:cs="Times New Roman"/>
                <w:sz w:val="21"/>
                <w:szCs w:val="21"/>
              </w:rPr>
            </w:pPr>
            <w:r w:rsidRPr="00E57429">
              <w:rPr>
                <w:rFonts w:eastAsia="宋体" w:cs="Times New Roman"/>
                <w:sz w:val="21"/>
                <w:szCs w:val="21"/>
              </w:rPr>
              <w:t>（</w:t>
            </w:r>
            <w:r w:rsidRPr="00E57429">
              <w:rPr>
                <w:rFonts w:eastAsia="宋体" w:cs="Times New Roman"/>
                <w:sz w:val="21"/>
                <w:szCs w:val="21"/>
              </w:rPr>
              <w:t>1</w:t>
            </w:r>
            <w:r w:rsidRPr="00E57429">
              <w:rPr>
                <w:rFonts w:eastAsia="宋体" w:cs="Times New Roman"/>
                <w:sz w:val="21"/>
                <w:szCs w:val="21"/>
              </w:rPr>
              <w:t>）</w:t>
            </w:r>
            <w:r w:rsidRPr="00E57429">
              <w:rPr>
                <w:rFonts w:eastAsia="宋体" w:cs="Times New Roman"/>
                <w:b/>
                <w:bCs/>
                <w:sz w:val="21"/>
                <w:szCs w:val="21"/>
              </w:rPr>
              <w:t>提出了高价金属</w:t>
            </w:r>
            <w:r w:rsidRPr="00E57429">
              <w:rPr>
                <w:rFonts w:eastAsia="宋体" w:cs="Times New Roman"/>
                <w:b/>
                <w:bCs/>
                <w:sz w:val="21"/>
                <w:szCs w:val="21"/>
              </w:rPr>
              <w:t>/</w:t>
            </w:r>
            <w:r w:rsidRPr="00E57429">
              <w:rPr>
                <w:rFonts w:eastAsia="宋体" w:cs="Times New Roman"/>
                <w:b/>
                <w:bCs/>
                <w:sz w:val="21"/>
                <w:szCs w:val="21"/>
              </w:rPr>
              <w:t>苯氧自由基介导的新污染物非自由基氧化降解新理论。</w:t>
            </w:r>
            <w:r w:rsidRPr="00E57429">
              <w:rPr>
                <w:rFonts w:eastAsia="宋体" w:cs="Times New Roman"/>
                <w:sz w:val="21"/>
                <w:szCs w:val="21"/>
              </w:rPr>
              <w:t>发现了污水内源有机物与催化剂自发发生的配体</w:t>
            </w:r>
            <w:r w:rsidRPr="00E57429">
              <w:rPr>
                <w:rFonts w:eastAsia="宋体" w:cs="Times New Roman"/>
                <w:sz w:val="21"/>
                <w:szCs w:val="21"/>
              </w:rPr>
              <w:t>-</w:t>
            </w:r>
            <w:r w:rsidRPr="00E57429">
              <w:rPr>
                <w:rFonts w:eastAsia="宋体" w:cs="Times New Roman"/>
                <w:sz w:val="21"/>
                <w:szCs w:val="21"/>
              </w:rPr>
              <w:t>金属电荷转移（</w:t>
            </w:r>
            <w:r w:rsidRPr="00E57429">
              <w:rPr>
                <w:rFonts w:eastAsia="宋体" w:cs="Times New Roman"/>
                <w:sz w:val="21"/>
                <w:szCs w:val="21"/>
              </w:rPr>
              <w:t>LMCT</w:t>
            </w:r>
            <w:r w:rsidRPr="00E57429">
              <w:rPr>
                <w:rFonts w:eastAsia="宋体" w:cs="Times New Roman"/>
                <w:sz w:val="21"/>
                <w:szCs w:val="21"/>
              </w:rPr>
              <w:t>）过程，阐明了苯氧自由基介导的有机物非自由基氧化降解新机制。多尺度解析了单原子至体相金属氧化物的电子结构，揭示了轨道能级（</w:t>
            </w:r>
            <w:r w:rsidRPr="00E57429">
              <w:rPr>
                <w:rFonts w:eastAsia="宋体" w:cs="Times New Roman"/>
                <w:sz w:val="21"/>
                <w:szCs w:val="21"/>
              </w:rPr>
              <w:t>LUMO-HOMO</w:t>
            </w:r>
            <w:r w:rsidRPr="00E57429">
              <w:rPr>
                <w:rFonts w:eastAsia="宋体" w:cs="Times New Roman"/>
                <w:sz w:val="21"/>
                <w:szCs w:val="21"/>
              </w:rPr>
              <w:t>）与氧空位对界面电子转移行为及高价金属生成的调控机制。美</w:t>
            </w:r>
            <w:r w:rsidRPr="00E57429">
              <w:rPr>
                <w:rFonts w:eastAsia="宋体" w:cs="Times New Roman"/>
                <w:sz w:val="21"/>
                <w:szCs w:val="21"/>
              </w:rPr>
              <w:lastRenderedPageBreak/>
              <w:t>国工程院院士、莱斯大学</w:t>
            </w:r>
            <w:r w:rsidRPr="00E57429">
              <w:rPr>
                <w:rFonts w:eastAsia="宋体" w:cs="Times New Roman"/>
                <w:sz w:val="21"/>
                <w:szCs w:val="21"/>
              </w:rPr>
              <w:t>Pedro J. J. Alvarez</w:t>
            </w:r>
            <w:r w:rsidRPr="00E57429">
              <w:rPr>
                <w:rFonts w:eastAsia="宋体" w:cs="Times New Roman"/>
                <w:sz w:val="21"/>
                <w:szCs w:val="21"/>
              </w:rPr>
              <w:t>教授充分肯定我们所提出的新机制：</w:t>
            </w:r>
            <w:r w:rsidRPr="00E57429">
              <w:rPr>
                <w:rFonts w:eastAsia="宋体" w:cs="Times New Roman"/>
                <w:sz w:val="21"/>
                <w:szCs w:val="21"/>
              </w:rPr>
              <w:t>“4-</w:t>
            </w:r>
            <w:r w:rsidRPr="00E57429">
              <w:rPr>
                <w:rFonts w:eastAsia="宋体" w:cs="Times New Roman"/>
                <w:sz w:val="21"/>
                <w:szCs w:val="21"/>
              </w:rPr>
              <w:t>氯酚降解的另一途径是通过单电子转移（</w:t>
            </w:r>
            <w:r w:rsidRPr="00E57429">
              <w:rPr>
                <w:rFonts w:eastAsia="宋体" w:cs="Times New Roman"/>
                <w:sz w:val="21"/>
                <w:szCs w:val="21"/>
              </w:rPr>
              <w:t>single-electron transfer (SET)</w:t>
            </w:r>
            <w:r w:rsidRPr="00E57429">
              <w:rPr>
                <w:rFonts w:eastAsia="宋体" w:cs="Times New Roman"/>
                <w:sz w:val="21"/>
                <w:szCs w:val="21"/>
              </w:rPr>
              <w:t>）形成酚类聚合物</w:t>
            </w:r>
            <w:r w:rsidRPr="00E57429">
              <w:rPr>
                <w:rFonts w:eastAsia="宋体" w:cs="Times New Roman"/>
                <w:sz w:val="21"/>
                <w:szCs w:val="21"/>
              </w:rPr>
              <w:t>”</w:t>
            </w:r>
            <w:r w:rsidRPr="00E57429">
              <w:rPr>
                <w:rFonts w:eastAsia="宋体" w:cs="Times New Roman"/>
                <w:sz w:val="21"/>
                <w:szCs w:val="21"/>
              </w:rPr>
              <w:t>。</w:t>
            </w:r>
          </w:p>
          <w:p w14:paraId="1B424B9E" w14:textId="77777777" w:rsidR="00E57429" w:rsidRPr="00E57429" w:rsidRDefault="00E57429" w:rsidP="00E57429">
            <w:pPr>
              <w:spacing w:line="240" w:lineRule="exact"/>
              <w:ind w:firstLineChars="200" w:firstLine="420"/>
              <w:jc w:val="both"/>
              <w:rPr>
                <w:rFonts w:eastAsia="宋体" w:cs="Times New Roman"/>
                <w:sz w:val="21"/>
                <w:szCs w:val="21"/>
              </w:rPr>
            </w:pPr>
            <w:r w:rsidRPr="00E57429">
              <w:rPr>
                <w:rFonts w:eastAsia="宋体" w:cs="Times New Roman"/>
                <w:sz w:val="21"/>
                <w:szCs w:val="21"/>
              </w:rPr>
              <w:t>（</w:t>
            </w:r>
            <w:r w:rsidRPr="00E57429">
              <w:rPr>
                <w:rFonts w:eastAsia="宋体" w:cs="Times New Roman"/>
                <w:sz w:val="21"/>
                <w:szCs w:val="21"/>
              </w:rPr>
              <w:t>2</w:t>
            </w:r>
            <w:r w:rsidRPr="00E57429">
              <w:rPr>
                <w:rFonts w:eastAsia="宋体" w:cs="Times New Roman"/>
                <w:sz w:val="21"/>
                <w:szCs w:val="21"/>
              </w:rPr>
              <w:t>）</w:t>
            </w:r>
            <w:r w:rsidRPr="00E57429">
              <w:rPr>
                <w:rFonts w:eastAsia="宋体" w:cs="Times New Roman"/>
                <w:b/>
                <w:bCs/>
                <w:sz w:val="21"/>
                <w:szCs w:val="21"/>
              </w:rPr>
              <w:t>发现了还原态</w:t>
            </w:r>
            <w:r w:rsidRPr="00E57429">
              <w:rPr>
                <w:rFonts w:eastAsia="宋体" w:cs="Times New Roman"/>
                <w:b/>
                <w:bCs/>
                <w:sz w:val="21"/>
                <w:szCs w:val="21"/>
              </w:rPr>
              <w:t>/</w:t>
            </w:r>
            <w:r w:rsidRPr="00E57429">
              <w:rPr>
                <w:rFonts w:eastAsia="宋体" w:cs="Times New Roman"/>
                <w:b/>
                <w:bCs/>
                <w:sz w:val="21"/>
                <w:szCs w:val="21"/>
              </w:rPr>
              <w:t>非还原态催化界面加速分子氧活化的新机制</w:t>
            </w:r>
            <w:r w:rsidRPr="00E57429">
              <w:rPr>
                <w:rFonts w:eastAsia="宋体" w:cs="Times New Roman"/>
                <w:sz w:val="21"/>
                <w:szCs w:val="21"/>
              </w:rPr>
              <w:t>。发现了</w:t>
            </w:r>
            <w:r w:rsidRPr="00E57429">
              <w:rPr>
                <w:rFonts w:eastAsia="宋体" w:cs="Times New Roman"/>
                <w:sz w:val="21"/>
                <w:szCs w:val="21"/>
              </w:rPr>
              <w:t>CuO</w:t>
            </w:r>
            <w:r w:rsidRPr="00E57429">
              <w:rPr>
                <w:rFonts w:eastAsia="宋体" w:cs="Times New Roman"/>
                <w:sz w:val="21"/>
                <w:szCs w:val="21"/>
              </w:rPr>
              <w:t>催化剂尺寸与氧空位对</w:t>
            </w:r>
            <w:r w:rsidRPr="00E57429">
              <w:rPr>
                <w:rFonts w:eastAsia="宋体" w:cs="Times New Roman"/>
                <w:sz w:val="21"/>
                <w:szCs w:val="21"/>
              </w:rPr>
              <w:t>O</w:t>
            </w:r>
            <w:r w:rsidRPr="00E57429">
              <w:rPr>
                <w:rFonts w:eastAsia="宋体" w:cs="Times New Roman"/>
                <w:sz w:val="21"/>
                <w:szCs w:val="21"/>
                <w:vertAlign w:val="subscript"/>
              </w:rPr>
              <w:t>2</w:t>
            </w:r>
            <w:r w:rsidRPr="00E57429">
              <w:rPr>
                <w:rFonts w:eastAsia="宋体" w:cs="Times New Roman"/>
                <w:sz w:val="21"/>
                <w:szCs w:val="21"/>
              </w:rPr>
              <w:t>吸附</w:t>
            </w:r>
            <w:r w:rsidRPr="00E57429">
              <w:rPr>
                <w:rFonts w:eastAsia="宋体" w:cs="Times New Roman"/>
                <w:sz w:val="21"/>
                <w:szCs w:val="21"/>
              </w:rPr>
              <w:t>-</w:t>
            </w:r>
            <w:r w:rsidRPr="00E57429">
              <w:rPr>
                <w:rFonts w:eastAsia="宋体" w:cs="Times New Roman"/>
                <w:sz w:val="21"/>
                <w:szCs w:val="21"/>
              </w:rPr>
              <w:t>电子转移过程的调控规律，揭示了基于</w:t>
            </w:r>
            <w:r w:rsidRPr="00E57429">
              <w:rPr>
                <w:rFonts w:eastAsia="宋体" w:cs="Times New Roman"/>
                <w:sz w:val="21"/>
                <w:szCs w:val="21"/>
              </w:rPr>
              <w:t>O</w:t>
            </w:r>
            <w:r w:rsidRPr="00E57429">
              <w:rPr>
                <w:rFonts w:eastAsia="宋体" w:cs="Times New Roman"/>
                <w:sz w:val="21"/>
                <w:szCs w:val="21"/>
                <w:vertAlign w:val="subscript"/>
              </w:rPr>
              <w:t>2</w:t>
            </w:r>
            <w:r w:rsidRPr="00E57429">
              <w:rPr>
                <w:rFonts w:eastAsia="宋体" w:cs="Times New Roman"/>
                <w:sz w:val="21"/>
                <w:szCs w:val="21"/>
                <w:vertAlign w:val="superscript"/>
              </w:rPr>
              <w:t>•-</w:t>
            </w:r>
            <w:r w:rsidRPr="00E57429">
              <w:rPr>
                <w:rFonts w:eastAsia="宋体" w:cs="Times New Roman"/>
                <w:sz w:val="21"/>
                <w:szCs w:val="21"/>
              </w:rPr>
              <w:t>定向生成的有机物超快脱卤新机制；阐明了羟胺诱导</w:t>
            </w:r>
            <w:r w:rsidRPr="00E57429">
              <w:rPr>
                <w:rFonts w:eastAsia="宋体" w:cs="Times New Roman"/>
                <w:sz w:val="21"/>
                <w:szCs w:val="21"/>
              </w:rPr>
              <w:t>Cu</w:t>
            </w:r>
            <w:r w:rsidRPr="00E57429">
              <w:rPr>
                <w:rFonts w:eastAsia="宋体" w:cs="Times New Roman"/>
                <w:sz w:val="21"/>
                <w:szCs w:val="21"/>
                <w:vertAlign w:val="superscript"/>
              </w:rPr>
              <w:t>0</w:t>
            </w:r>
            <w:r w:rsidRPr="00E57429">
              <w:rPr>
                <w:rFonts w:eastAsia="宋体" w:cs="Times New Roman"/>
                <w:sz w:val="21"/>
                <w:szCs w:val="21"/>
              </w:rPr>
              <w:t>@Cu</w:t>
            </w:r>
            <w:r w:rsidRPr="00E57429">
              <w:rPr>
                <w:rFonts w:eastAsia="宋体" w:cs="Times New Roman"/>
                <w:sz w:val="21"/>
                <w:szCs w:val="21"/>
                <w:vertAlign w:val="subscript"/>
              </w:rPr>
              <w:t>2</w:t>
            </w:r>
            <w:r w:rsidRPr="00E57429">
              <w:rPr>
                <w:rFonts w:eastAsia="宋体" w:cs="Times New Roman"/>
                <w:sz w:val="21"/>
                <w:szCs w:val="21"/>
              </w:rPr>
              <w:t>O</w:t>
            </w:r>
            <w:r w:rsidRPr="00E57429">
              <w:rPr>
                <w:rFonts w:eastAsia="宋体" w:cs="Times New Roman"/>
                <w:sz w:val="21"/>
                <w:szCs w:val="21"/>
              </w:rPr>
              <w:t>核壳结构动态再生及高效氧活化机制；发现了非还原态催化界面草酸对光化学铁循环的强化作用，确定了最具光化学活性的草酸</w:t>
            </w:r>
            <w:r w:rsidRPr="00E57429">
              <w:rPr>
                <w:rFonts w:eastAsia="宋体" w:cs="Times New Roman"/>
                <w:sz w:val="21"/>
                <w:szCs w:val="21"/>
              </w:rPr>
              <w:t>-</w:t>
            </w:r>
            <w:r w:rsidRPr="00E57429">
              <w:rPr>
                <w:rFonts w:eastAsia="宋体" w:cs="Times New Roman"/>
                <w:sz w:val="21"/>
                <w:szCs w:val="21"/>
              </w:rPr>
              <w:t>铁配位构型，阐明了均相</w:t>
            </w:r>
            <w:r w:rsidRPr="00E57429">
              <w:rPr>
                <w:rFonts w:eastAsia="宋体" w:cs="Times New Roman"/>
                <w:sz w:val="21"/>
                <w:szCs w:val="21"/>
              </w:rPr>
              <w:t>-</w:t>
            </w:r>
            <w:r w:rsidRPr="00E57429">
              <w:rPr>
                <w:rFonts w:eastAsia="宋体" w:cs="Times New Roman"/>
                <w:sz w:val="21"/>
                <w:szCs w:val="21"/>
              </w:rPr>
              <w:t>非均相高效铁循环协同驱动的氧活化机理。美国佐治亚理工学院</w:t>
            </w:r>
            <w:r w:rsidRPr="00E57429">
              <w:rPr>
                <w:rFonts w:eastAsia="宋体" w:cs="Times New Roman"/>
                <w:sz w:val="21"/>
                <w:szCs w:val="21"/>
              </w:rPr>
              <w:t xml:space="preserve"> Ching-Hua Huang</w:t>
            </w:r>
            <w:r w:rsidRPr="00E57429">
              <w:rPr>
                <w:rFonts w:eastAsia="宋体" w:cs="Times New Roman"/>
                <w:sz w:val="21"/>
                <w:szCs w:val="21"/>
              </w:rPr>
              <w:t>教授高度认可团队所研究非自由基物种具有</w:t>
            </w:r>
            <w:r w:rsidRPr="00E57429">
              <w:rPr>
                <w:rFonts w:eastAsia="宋体" w:cs="Times New Roman"/>
                <w:sz w:val="21"/>
                <w:szCs w:val="21"/>
              </w:rPr>
              <w:t>“</w:t>
            </w:r>
            <w:r w:rsidRPr="00E57429">
              <w:rPr>
                <w:rFonts w:eastAsia="宋体" w:cs="Times New Roman"/>
                <w:sz w:val="21"/>
                <w:szCs w:val="21"/>
              </w:rPr>
              <w:t>更长的半衰期和卓越的污染物降解选择性（</w:t>
            </w:r>
            <w:r w:rsidRPr="00E57429">
              <w:rPr>
                <w:rFonts w:eastAsia="宋体" w:cs="Times New Roman"/>
                <w:sz w:val="21"/>
                <w:szCs w:val="21"/>
              </w:rPr>
              <w:t>longer half-life and exceptional contaminants selectivity</w:t>
            </w:r>
            <w:r w:rsidRPr="00E57429">
              <w:rPr>
                <w:rFonts w:eastAsia="宋体" w:cs="Times New Roman"/>
                <w:sz w:val="21"/>
                <w:szCs w:val="21"/>
              </w:rPr>
              <w:t>）</w:t>
            </w:r>
            <w:r w:rsidRPr="00E57429">
              <w:rPr>
                <w:rFonts w:eastAsia="宋体" w:cs="Times New Roman"/>
                <w:sz w:val="21"/>
                <w:szCs w:val="21"/>
              </w:rPr>
              <w:t>”</w:t>
            </w:r>
            <w:r w:rsidRPr="00E57429">
              <w:rPr>
                <w:rFonts w:eastAsia="宋体" w:cs="Times New Roman"/>
                <w:sz w:val="21"/>
                <w:szCs w:val="21"/>
              </w:rPr>
              <w:t>。</w:t>
            </w:r>
          </w:p>
          <w:p w14:paraId="595BAE2F" w14:textId="77777777" w:rsidR="00E57429" w:rsidRPr="00E57429" w:rsidRDefault="00E57429" w:rsidP="00E57429">
            <w:pPr>
              <w:spacing w:line="240" w:lineRule="exact"/>
              <w:ind w:firstLineChars="200" w:firstLine="420"/>
              <w:jc w:val="both"/>
              <w:rPr>
                <w:rFonts w:eastAsia="宋体" w:cs="Times New Roman"/>
                <w:sz w:val="21"/>
                <w:szCs w:val="21"/>
              </w:rPr>
            </w:pPr>
            <w:r w:rsidRPr="00E57429">
              <w:rPr>
                <w:rFonts w:eastAsia="宋体" w:cs="Times New Roman"/>
                <w:sz w:val="21"/>
                <w:szCs w:val="21"/>
              </w:rPr>
              <w:t>（</w:t>
            </w:r>
            <w:r w:rsidRPr="00E57429">
              <w:rPr>
                <w:rFonts w:eastAsia="宋体" w:cs="Times New Roman"/>
                <w:sz w:val="21"/>
                <w:szCs w:val="21"/>
              </w:rPr>
              <w:t>3</w:t>
            </w:r>
            <w:r w:rsidRPr="00E57429">
              <w:rPr>
                <w:rFonts w:eastAsia="宋体" w:cs="Times New Roman"/>
                <w:sz w:val="21"/>
                <w:szCs w:val="21"/>
              </w:rPr>
              <w:t>）</w:t>
            </w:r>
            <w:r w:rsidRPr="00E57429">
              <w:rPr>
                <w:rFonts w:eastAsia="宋体" w:cs="Times New Roman"/>
                <w:b/>
                <w:bCs/>
                <w:sz w:val="21"/>
                <w:szCs w:val="21"/>
              </w:rPr>
              <w:t>创制了场协同界面传质</w:t>
            </w:r>
            <w:r w:rsidRPr="00E57429">
              <w:rPr>
                <w:rFonts w:eastAsia="宋体" w:cs="Times New Roman"/>
                <w:b/>
                <w:bCs/>
                <w:sz w:val="21"/>
                <w:szCs w:val="21"/>
              </w:rPr>
              <w:t>/</w:t>
            </w:r>
            <w:r w:rsidRPr="00E57429">
              <w:rPr>
                <w:rFonts w:eastAsia="宋体" w:cs="Times New Roman"/>
                <w:b/>
                <w:bCs/>
                <w:sz w:val="21"/>
                <w:szCs w:val="21"/>
              </w:rPr>
              <w:t>电子传输强化废水自由基氧化的新方法</w:t>
            </w:r>
            <w:r w:rsidRPr="00E57429">
              <w:rPr>
                <w:rFonts w:eastAsia="宋体" w:cs="Times New Roman"/>
                <w:sz w:val="21"/>
                <w:szCs w:val="21"/>
              </w:rPr>
              <w:t>。构建超声</w:t>
            </w:r>
            <w:r w:rsidRPr="00E57429">
              <w:rPr>
                <w:rFonts w:eastAsia="宋体" w:cs="Times New Roman"/>
                <w:sz w:val="21"/>
                <w:szCs w:val="21"/>
              </w:rPr>
              <w:t>-</w:t>
            </w:r>
            <w:r w:rsidRPr="00E57429">
              <w:rPr>
                <w:rFonts w:eastAsia="宋体" w:cs="Times New Roman"/>
                <w:sz w:val="21"/>
                <w:szCs w:val="21"/>
              </w:rPr>
              <w:t>草酸耦合光芬顿新体系，阐明了空化热效应促进</w:t>
            </w:r>
            <w:r w:rsidRPr="00E57429">
              <w:rPr>
                <w:rFonts w:eastAsia="宋体" w:cs="Times New Roman"/>
                <w:sz w:val="21"/>
                <w:szCs w:val="21"/>
              </w:rPr>
              <w:t>H</w:t>
            </w:r>
            <w:r w:rsidRPr="00E57429">
              <w:rPr>
                <w:rFonts w:eastAsia="宋体" w:cs="Times New Roman"/>
                <w:sz w:val="21"/>
                <w:szCs w:val="21"/>
                <w:vertAlign w:val="subscript"/>
              </w:rPr>
              <w:t>2</w:t>
            </w:r>
            <w:r w:rsidRPr="00E57429">
              <w:rPr>
                <w:rFonts w:eastAsia="宋体" w:cs="Times New Roman"/>
                <w:sz w:val="21"/>
                <w:szCs w:val="21"/>
              </w:rPr>
              <w:t>O/O</w:t>
            </w:r>
            <w:r w:rsidRPr="00E57429">
              <w:rPr>
                <w:rFonts w:eastAsia="宋体" w:cs="Times New Roman"/>
                <w:sz w:val="21"/>
                <w:szCs w:val="21"/>
                <w:vertAlign w:val="subscript"/>
              </w:rPr>
              <w:t>2</w:t>
            </w:r>
            <w:r w:rsidRPr="00E57429">
              <w:rPr>
                <w:rFonts w:eastAsia="宋体" w:cs="Times New Roman"/>
                <w:sz w:val="21"/>
                <w:szCs w:val="21"/>
              </w:rPr>
              <w:t>裂解产活性物种的机制；揭示了电极界面草酸介导电子穿梭促进铁循环机制，</w:t>
            </w:r>
            <w:r w:rsidRPr="00E57429">
              <w:rPr>
                <w:rFonts w:eastAsia="宋体" w:cs="Times New Roman"/>
                <w:bCs/>
                <w:sz w:val="21"/>
                <w:szCs w:val="21"/>
              </w:rPr>
              <w:t>实现了电芬顿体系中均相</w:t>
            </w:r>
            <w:r w:rsidRPr="00E57429">
              <w:rPr>
                <w:rFonts w:eastAsia="宋体" w:cs="Times New Roman"/>
                <w:bCs/>
                <w:sz w:val="21"/>
                <w:szCs w:val="21"/>
              </w:rPr>
              <w:t>/</w:t>
            </w:r>
            <w:r w:rsidRPr="00E57429">
              <w:rPr>
                <w:rFonts w:eastAsia="宋体" w:cs="Times New Roman"/>
                <w:bCs/>
                <w:sz w:val="21"/>
                <w:szCs w:val="21"/>
              </w:rPr>
              <w:t>非均相反应动力学的协同强化</w:t>
            </w:r>
            <w:r w:rsidRPr="00E57429">
              <w:rPr>
                <w:rFonts w:eastAsia="宋体" w:cs="Times New Roman"/>
                <w:sz w:val="21"/>
                <w:szCs w:val="21"/>
              </w:rPr>
              <w:t>；发展了电</w:t>
            </w:r>
            <w:r w:rsidRPr="00E57429">
              <w:rPr>
                <w:rFonts w:eastAsia="宋体" w:cs="Times New Roman"/>
                <w:sz w:val="21"/>
                <w:szCs w:val="21"/>
              </w:rPr>
              <w:t>-</w:t>
            </w:r>
            <w:r w:rsidRPr="00E57429">
              <w:rPr>
                <w:rFonts w:eastAsia="宋体" w:cs="Times New Roman"/>
                <w:sz w:val="21"/>
                <w:szCs w:val="21"/>
              </w:rPr>
              <w:t>超声多物理场耦合强化降解体系，发现了超声促进自由基生成与抑制氯代副产物的双重增效作用。澳大利亚科廷大学</w:t>
            </w:r>
            <w:r w:rsidRPr="00E57429">
              <w:rPr>
                <w:rFonts w:eastAsia="宋体" w:cs="Times New Roman"/>
                <w:sz w:val="21"/>
                <w:szCs w:val="21"/>
              </w:rPr>
              <w:t>Md. Rabiul Awual</w:t>
            </w:r>
            <w:r w:rsidRPr="00E57429">
              <w:rPr>
                <w:rFonts w:eastAsia="宋体" w:cs="Times New Roman"/>
                <w:sz w:val="21"/>
                <w:szCs w:val="21"/>
              </w:rPr>
              <w:t>教授高度评价团队所开发场强化技术</w:t>
            </w:r>
            <w:r w:rsidRPr="00E57429">
              <w:rPr>
                <w:rFonts w:eastAsia="宋体" w:cs="Times New Roman"/>
                <w:sz w:val="21"/>
                <w:szCs w:val="21"/>
              </w:rPr>
              <w:t>“</w:t>
            </w:r>
            <w:r w:rsidRPr="00E57429">
              <w:rPr>
                <w:rFonts w:eastAsia="宋体" w:cs="Times New Roman"/>
                <w:sz w:val="21"/>
                <w:szCs w:val="21"/>
              </w:rPr>
              <w:t>反应速率快、低毒害性及环境友好（</w:t>
            </w:r>
            <w:r w:rsidRPr="00E57429">
              <w:rPr>
                <w:rFonts w:eastAsia="宋体" w:cs="Times New Roman"/>
                <w:sz w:val="21"/>
                <w:szCs w:val="21"/>
              </w:rPr>
              <w:t>rapid reaction rates, low toxicity, and environmental compatibility</w:t>
            </w:r>
            <w:r w:rsidRPr="00E57429">
              <w:rPr>
                <w:rFonts w:eastAsia="宋体" w:cs="Times New Roman"/>
                <w:sz w:val="21"/>
                <w:szCs w:val="21"/>
              </w:rPr>
              <w:t>）</w:t>
            </w:r>
            <w:r w:rsidRPr="00E57429">
              <w:rPr>
                <w:rFonts w:eastAsia="宋体" w:cs="Times New Roman"/>
                <w:sz w:val="21"/>
                <w:szCs w:val="21"/>
              </w:rPr>
              <w:t>”</w:t>
            </w:r>
            <w:r w:rsidRPr="00E57429">
              <w:rPr>
                <w:rFonts w:eastAsia="宋体" w:cs="Times New Roman"/>
                <w:sz w:val="21"/>
                <w:szCs w:val="21"/>
              </w:rPr>
              <w:t>。</w:t>
            </w:r>
          </w:p>
          <w:bookmarkEnd w:id="0"/>
          <w:p w14:paraId="4F3D61FE" w14:textId="7B8210F8" w:rsidR="001C39B9" w:rsidRPr="00E57429" w:rsidRDefault="00E57429" w:rsidP="00E57429">
            <w:pPr>
              <w:spacing w:line="240" w:lineRule="exact"/>
              <w:ind w:firstLineChars="200" w:firstLine="420"/>
              <w:jc w:val="both"/>
              <w:rPr>
                <w:rFonts w:eastAsia="宋体" w:cs="Times New Roman"/>
                <w:sz w:val="21"/>
                <w:szCs w:val="21"/>
              </w:rPr>
            </w:pPr>
            <w:r w:rsidRPr="00E57429">
              <w:rPr>
                <w:rFonts w:eastAsia="宋体" w:cs="Times New Roman"/>
                <w:sz w:val="21"/>
                <w:szCs w:val="21"/>
              </w:rPr>
              <w:t>该项目</w:t>
            </w:r>
            <w:r w:rsidRPr="00E57429">
              <w:rPr>
                <w:rFonts w:eastAsia="宋体" w:cs="Times New Roman"/>
                <w:sz w:val="21"/>
                <w:szCs w:val="21"/>
              </w:rPr>
              <w:t>5</w:t>
            </w:r>
            <w:r w:rsidRPr="00E57429">
              <w:rPr>
                <w:rFonts w:eastAsia="宋体" w:cs="Times New Roman"/>
                <w:sz w:val="21"/>
                <w:szCs w:val="21"/>
              </w:rPr>
              <w:t>篇代表作发表于</w:t>
            </w:r>
            <w:r w:rsidRPr="00E57429">
              <w:rPr>
                <w:rFonts w:eastAsia="宋体" w:cs="Times New Roman"/>
                <w:sz w:val="21"/>
                <w:szCs w:val="21"/>
              </w:rPr>
              <w:t>PNAS (1)</w:t>
            </w:r>
            <w:r w:rsidRPr="00E57429">
              <w:rPr>
                <w:rFonts w:eastAsia="宋体" w:cs="Times New Roman"/>
                <w:sz w:val="21"/>
                <w:szCs w:val="21"/>
              </w:rPr>
              <w:t>、</w:t>
            </w:r>
            <w:r w:rsidRPr="00E57429">
              <w:rPr>
                <w:rFonts w:eastAsia="宋体" w:cs="Times New Roman"/>
                <w:sz w:val="21"/>
                <w:szCs w:val="21"/>
              </w:rPr>
              <w:t>Adv. Mater. (1)</w:t>
            </w:r>
            <w:r w:rsidRPr="00E57429">
              <w:rPr>
                <w:rFonts w:eastAsia="宋体" w:cs="Times New Roman"/>
                <w:sz w:val="21"/>
                <w:szCs w:val="21"/>
              </w:rPr>
              <w:t>、</w:t>
            </w:r>
            <w:r w:rsidRPr="00E57429">
              <w:rPr>
                <w:rFonts w:eastAsia="宋体" w:cs="Times New Roman"/>
                <w:sz w:val="21"/>
                <w:szCs w:val="21"/>
              </w:rPr>
              <w:t>Environ. Sci. Technol. (1)</w:t>
            </w:r>
            <w:r w:rsidRPr="00E57429">
              <w:rPr>
                <w:rFonts w:eastAsia="宋体" w:cs="Times New Roman"/>
                <w:sz w:val="21"/>
                <w:szCs w:val="21"/>
              </w:rPr>
              <w:t>和</w:t>
            </w:r>
            <w:r w:rsidRPr="00E57429">
              <w:rPr>
                <w:rFonts w:eastAsia="宋体" w:cs="Times New Roman"/>
                <w:sz w:val="21"/>
                <w:szCs w:val="21"/>
              </w:rPr>
              <w:t>Chin. Chem. Lett.</w:t>
            </w:r>
            <w:r w:rsidRPr="00E57429">
              <w:rPr>
                <w:rFonts w:eastAsia="宋体" w:cs="Times New Roman"/>
                <w:sz w:val="21"/>
                <w:szCs w:val="21"/>
              </w:rPr>
              <w:t>（中国化学快报）</w:t>
            </w:r>
            <w:r w:rsidRPr="00E57429">
              <w:rPr>
                <w:rFonts w:eastAsia="宋体" w:cs="Times New Roman"/>
                <w:sz w:val="21"/>
                <w:szCs w:val="21"/>
              </w:rPr>
              <w:t>(2)</w:t>
            </w:r>
            <w:r w:rsidRPr="00E57429">
              <w:rPr>
                <w:rFonts w:eastAsia="宋体" w:cs="Times New Roman"/>
                <w:sz w:val="21"/>
                <w:szCs w:val="21"/>
              </w:rPr>
              <w:t>等国内外权威期刊，其中</w:t>
            </w:r>
            <w:r w:rsidRPr="00E57429">
              <w:rPr>
                <w:rFonts w:eastAsia="宋体" w:cs="Times New Roman"/>
                <w:sz w:val="21"/>
                <w:szCs w:val="21"/>
              </w:rPr>
              <w:t>ESI</w:t>
            </w:r>
            <w:r w:rsidRPr="00E57429">
              <w:rPr>
                <w:rFonts w:eastAsia="宋体" w:cs="Times New Roman"/>
                <w:sz w:val="21"/>
                <w:szCs w:val="21"/>
              </w:rPr>
              <w:t>高被引论文</w:t>
            </w:r>
            <w:r w:rsidRPr="00E57429">
              <w:rPr>
                <w:rFonts w:eastAsia="宋体" w:cs="Times New Roman"/>
                <w:sz w:val="21"/>
                <w:szCs w:val="21"/>
              </w:rPr>
              <w:t>2</w:t>
            </w:r>
            <w:r w:rsidRPr="00E57429">
              <w:rPr>
                <w:rFonts w:eastAsia="宋体" w:cs="Times New Roman"/>
                <w:sz w:val="21"/>
                <w:szCs w:val="21"/>
              </w:rPr>
              <w:t>篇，总他引</w:t>
            </w:r>
            <w:r w:rsidR="004D4BB5">
              <w:rPr>
                <w:rFonts w:eastAsia="宋体" w:cs="Times New Roman" w:hint="eastAsia"/>
                <w:sz w:val="21"/>
                <w:szCs w:val="21"/>
              </w:rPr>
              <w:t>747</w:t>
            </w:r>
            <w:r w:rsidRPr="00E57429">
              <w:rPr>
                <w:rFonts w:eastAsia="宋体" w:cs="Times New Roman"/>
                <w:sz w:val="21"/>
                <w:szCs w:val="21"/>
              </w:rPr>
              <w:t>次，单篇最高他引</w:t>
            </w:r>
            <w:r w:rsidR="001A3FE2">
              <w:rPr>
                <w:rFonts w:eastAsia="宋体" w:cs="Times New Roman" w:hint="eastAsia"/>
                <w:sz w:val="21"/>
                <w:szCs w:val="21"/>
              </w:rPr>
              <w:t>350</w:t>
            </w:r>
            <w:r w:rsidRPr="00E57429">
              <w:rPr>
                <w:rFonts w:eastAsia="宋体" w:cs="Times New Roman"/>
                <w:sz w:val="21"/>
                <w:szCs w:val="21"/>
              </w:rPr>
              <w:t>次。项目团队在</w:t>
            </w:r>
            <w:r w:rsidRPr="00E57429">
              <w:rPr>
                <w:rFonts w:eastAsia="宋体" w:cs="Times New Roman"/>
                <w:sz w:val="21"/>
                <w:szCs w:val="21"/>
              </w:rPr>
              <w:t>PNAS (2)</w:t>
            </w:r>
            <w:r w:rsidRPr="00E57429">
              <w:rPr>
                <w:rFonts w:eastAsia="宋体" w:cs="Times New Roman"/>
                <w:sz w:val="21"/>
                <w:szCs w:val="21"/>
              </w:rPr>
              <w:t>、</w:t>
            </w:r>
            <w:r w:rsidRPr="00E57429">
              <w:rPr>
                <w:rFonts w:eastAsia="宋体" w:cs="Times New Roman"/>
                <w:sz w:val="21"/>
                <w:szCs w:val="21"/>
              </w:rPr>
              <w:t>Adv. Mater. (1)</w:t>
            </w:r>
            <w:r w:rsidRPr="00E57429">
              <w:rPr>
                <w:rFonts w:eastAsia="宋体" w:cs="Times New Roman"/>
                <w:sz w:val="21"/>
                <w:szCs w:val="21"/>
              </w:rPr>
              <w:t>、</w:t>
            </w:r>
            <w:r w:rsidRPr="00E57429">
              <w:rPr>
                <w:rFonts w:eastAsia="宋体" w:cs="Times New Roman"/>
                <w:sz w:val="21"/>
                <w:szCs w:val="21"/>
              </w:rPr>
              <w:t>Environ. Sci. Technol. (4)</w:t>
            </w:r>
            <w:r w:rsidRPr="00E57429">
              <w:rPr>
                <w:rFonts w:eastAsia="宋体" w:cs="Times New Roman"/>
                <w:sz w:val="21"/>
                <w:szCs w:val="21"/>
              </w:rPr>
              <w:t>、</w:t>
            </w:r>
            <w:r w:rsidRPr="00E57429">
              <w:rPr>
                <w:rFonts w:eastAsia="宋体" w:cs="Times New Roman"/>
                <w:sz w:val="21"/>
                <w:szCs w:val="21"/>
              </w:rPr>
              <w:t>Water Res. (8)</w:t>
            </w:r>
            <w:r w:rsidRPr="00E57429">
              <w:rPr>
                <w:rFonts w:eastAsia="宋体" w:cs="Times New Roman"/>
                <w:sz w:val="21"/>
                <w:szCs w:val="21"/>
              </w:rPr>
              <w:t>等期刊共发表</w:t>
            </w:r>
            <w:r w:rsidRPr="00E57429">
              <w:rPr>
                <w:rFonts w:eastAsia="宋体" w:cs="Times New Roman"/>
                <w:sz w:val="21"/>
                <w:szCs w:val="21"/>
              </w:rPr>
              <w:t>SCI</w:t>
            </w:r>
            <w:r w:rsidRPr="00E57429">
              <w:rPr>
                <w:rFonts w:eastAsia="宋体" w:cs="Times New Roman"/>
                <w:sz w:val="21"/>
                <w:szCs w:val="21"/>
              </w:rPr>
              <w:t>论文</w:t>
            </w:r>
            <w:r w:rsidRPr="00E57429">
              <w:rPr>
                <w:rFonts w:eastAsia="宋体" w:cs="Times New Roman"/>
                <w:sz w:val="21"/>
                <w:szCs w:val="21"/>
              </w:rPr>
              <w:t>72</w:t>
            </w:r>
            <w:r w:rsidRPr="00E57429">
              <w:rPr>
                <w:rFonts w:eastAsia="宋体" w:cs="Times New Roman"/>
                <w:sz w:val="21"/>
                <w:szCs w:val="21"/>
              </w:rPr>
              <w:t>篇，总他引</w:t>
            </w:r>
            <w:r w:rsidRPr="00E57429">
              <w:rPr>
                <w:rFonts w:eastAsia="宋体" w:cs="Times New Roman"/>
                <w:sz w:val="21"/>
                <w:szCs w:val="21"/>
              </w:rPr>
              <w:t>5058</w:t>
            </w:r>
            <w:r w:rsidRPr="00E57429">
              <w:rPr>
                <w:rFonts w:eastAsia="宋体" w:cs="Times New Roman"/>
                <w:sz w:val="21"/>
                <w:szCs w:val="21"/>
              </w:rPr>
              <w:t>次，其中</w:t>
            </w:r>
            <w:r w:rsidRPr="00E57429">
              <w:rPr>
                <w:rFonts w:eastAsia="宋体" w:cs="Times New Roman"/>
                <w:sz w:val="21"/>
                <w:szCs w:val="21"/>
              </w:rPr>
              <w:t>ESI</w:t>
            </w:r>
            <w:r w:rsidRPr="00E57429">
              <w:rPr>
                <w:rFonts w:eastAsia="宋体" w:cs="Times New Roman"/>
                <w:sz w:val="21"/>
                <w:szCs w:val="21"/>
              </w:rPr>
              <w:t>高被引论文</w:t>
            </w:r>
            <w:r w:rsidRPr="00E57429">
              <w:rPr>
                <w:rFonts w:eastAsia="宋体" w:cs="Times New Roman"/>
                <w:sz w:val="21"/>
                <w:szCs w:val="21"/>
              </w:rPr>
              <w:t>11</w:t>
            </w:r>
            <w:r w:rsidRPr="00E57429">
              <w:rPr>
                <w:rFonts w:eastAsia="宋体" w:cs="Times New Roman"/>
                <w:sz w:val="21"/>
                <w:szCs w:val="21"/>
              </w:rPr>
              <w:t>篇，培养了国家级青年人才</w:t>
            </w:r>
            <w:r w:rsidRPr="00E57429">
              <w:rPr>
                <w:rFonts w:eastAsia="宋体" w:cs="Times New Roman"/>
                <w:sz w:val="21"/>
                <w:szCs w:val="21"/>
              </w:rPr>
              <w:t>1</w:t>
            </w:r>
            <w:r w:rsidRPr="00E57429">
              <w:rPr>
                <w:rFonts w:eastAsia="宋体" w:cs="Times New Roman"/>
                <w:sz w:val="21"/>
                <w:szCs w:val="21"/>
              </w:rPr>
              <w:t>名，省级人才</w:t>
            </w:r>
            <w:r w:rsidRPr="00E57429">
              <w:rPr>
                <w:rFonts w:eastAsia="宋体" w:cs="Times New Roman"/>
                <w:sz w:val="21"/>
                <w:szCs w:val="21"/>
              </w:rPr>
              <w:t>2</w:t>
            </w:r>
            <w:r w:rsidRPr="00E57429">
              <w:rPr>
                <w:rFonts w:eastAsia="宋体" w:cs="Times New Roman"/>
                <w:sz w:val="21"/>
                <w:szCs w:val="21"/>
              </w:rPr>
              <w:t>名。基于项目理论研究成果，团队开发了一系列异相催化氧化技术与装备并成功应用，取得了显著的社会、经济和环境效益：非自由基催化氧化中试装备（</w:t>
            </w:r>
            <w:r w:rsidRPr="00E57429">
              <w:rPr>
                <w:rFonts w:eastAsia="宋体" w:cs="Times New Roman"/>
                <w:sz w:val="21"/>
                <w:szCs w:val="21"/>
              </w:rPr>
              <w:t>10 m</w:t>
            </w:r>
            <w:r w:rsidRPr="00E57429">
              <w:rPr>
                <w:rFonts w:eastAsia="宋体" w:cs="Times New Roman"/>
                <w:sz w:val="21"/>
                <w:szCs w:val="21"/>
                <w:vertAlign w:val="superscript"/>
              </w:rPr>
              <w:t>3</w:t>
            </w:r>
            <w:r w:rsidRPr="00E57429">
              <w:rPr>
                <w:rFonts w:eastAsia="宋体" w:cs="Times New Roman"/>
                <w:sz w:val="21"/>
                <w:szCs w:val="21"/>
              </w:rPr>
              <w:t>/d</w:t>
            </w:r>
            <w:r w:rsidRPr="00E57429">
              <w:rPr>
                <w:rFonts w:eastAsia="宋体" w:cs="Times New Roman"/>
                <w:sz w:val="21"/>
                <w:szCs w:val="21"/>
              </w:rPr>
              <w:t>）实现了城市污水厂尾水中痕量新污染物削减</w:t>
            </w:r>
            <w:r w:rsidRPr="00E57429">
              <w:rPr>
                <w:rFonts w:eastAsia="宋体" w:cs="Times New Roman"/>
                <w:sz w:val="21"/>
                <w:szCs w:val="21"/>
              </w:rPr>
              <w:t>&gt;90%</w:t>
            </w:r>
            <w:r w:rsidRPr="00E57429">
              <w:rPr>
                <w:rFonts w:eastAsia="宋体" w:cs="Times New Roman"/>
                <w:sz w:val="21"/>
                <w:szCs w:val="21"/>
              </w:rPr>
              <w:t>；循环结晶芬顿流化床（</w:t>
            </w:r>
            <w:r w:rsidRPr="00E57429">
              <w:rPr>
                <w:rFonts w:eastAsia="宋体" w:cs="Times New Roman"/>
                <w:sz w:val="21"/>
                <w:szCs w:val="21"/>
              </w:rPr>
              <w:t>72-200 m</w:t>
            </w:r>
            <w:r w:rsidRPr="00E57429">
              <w:rPr>
                <w:rFonts w:eastAsia="宋体" w:cs="Times New Roman"/>
                <w:sz w:val="21"/>
                <w:szCs w:val="21"/>
                <w:vertAlign w:val="superscript"/>
              </w:rPr>
              <w:t>3</w:t>
            </w:r>
            <w:r w:rsidRPr="00E57429">
              <w:rPr>
                <w:rFonts w:eastAsia="宋体" w:cs="Times New Roman"/>
                <w:sz w:val="21"/>
                <w:szCs w:val="21"/>
              </w:rPr>
              <w:t>/d</w:t>
            </w:r>
            <w:r w:rsidRPr="00E57429">
              <w:rPr>
                <w:rFonts w:eastAsia="宋体" w:cs="Times New Roman"/>
                <w:sz w:val="21"/>
                <w:szCs w:val="21"/>
              </w:rPr>
              <w:t>）和电还原芬顿（</w:t>
            </w:r>
            <w:r w:rsidRPr="00E57429">
              <w:rPr>
                <w:rFonts w:eastAsia="宋体" w:cs="Times New Roman"/>
                <w:sz w:val="21"/>
                <w:szCs w:val="21"/>
              </w:rPr>
              <w:t>120 m</w:t>
            </w:r>
            <w:r w:rsidRPr="00E57429">
              <w:rPr>
                <w:rFonts w:eastAsia="宋体" w:cs="Times New Roman"/>
                <w:sz w:val="21"/>
                <w:szCs w:val="21"/>
                <w:vertAlign w:val="superscript"/>
              </w:rPr>
              <w:t>3</w:t>
            </w:r>
            <w:r w:rsidRPr="00E57429">
              <w:rPr>
                <w:rFonts w:eastAsia="宋体" w:cs="Times New Roman"/>
                <w:sz w:val="21"/>
                <w:szCs w:val="21"/>
              </w:rPr>
              <w:t>/d</w:t>
            </w:r>
            <w:r w:rsidRPr="00E57429">
              <w:rPr>
                <w:rFonts w:eastAsia="宋体" w:cs="Times New Roman"/>
                <w:sz w:val="21"/>
                <w:szCs w:val="21"/>
              </w:rPr>
              <w:t>）等自由基催化氧化装备对多种难降解工业废水的有机污染物矿化率达</w:t>
            </w:r>
            <w:r w:rsidRPr="00E57429">
              <w:rPr>
                <w:rFonts w:eastAsia="宋体" w:cs="Times New Roman"/>
                <w:sz w:val="21"/>
                <w:szCs w:val="21"/>
              </w:rPr>
              <w:t>60-90%</w:t>
            </w:r>
            <w:r w:rsidRPr="00E57429">
              <w:rPr>
                <w:rFonts w:eastAsia="宋体" w:cs="Times New Roman"/>
                <w:sz w:val="21"/>
                <w:szCs w:val="21"/>
              </w:rPr>
              <w:t>，吨水处理成本</w:t>
            </w:r>
            <w:r w:rsidRPr="00E57429">
              <w:rPr>
                <w:rFonts w:eastAsia="宋体" w:cs="Times New Roman"/>
                <w:sz w:val="21"/>
                <w:szCs w:val="21"/>
              </w:rPr>
              <w:t>≤2.0</w:t>
            </w:r>
            <w:r w:rsidRPr="00E57429">
              <w:rPr>
                <w:rFonts w:eastAsia="宋体" w:cs="Times New Roman"/>
                <w:sz w:val="21"/>
                <w:szCs w:val="21"/>
              </w:rPr>
              <w:t>元</w:t>
            </w:r>
            <w:r w:rsidRPr="00E57429">
              <w:rPr>
                <w:rFonts w:eastAsia="宋体" w:cs="Times New Roman"/>
                <w:sz w:val="21"/>
                <w:szCs w:val="21"/>
              </w:rPr>
              <w:t>/m</w:t>
            </w:r>
            <w:r w:rsidRPr="00E57429">
              <w:rPr>
                <w:rFonts w:eastAsia="宋体" w:cs="Times New Roman"/>
                <w:sz w:val="21"/>
                <w:szCs w:val="21"/>
                <w:vertAlign w:val="superscript"/>
              </w:rPr>
              <w:t>3</w:t>
            </w:r>
            <w:r w:rsidRPr="00E57429">
              <w:rPr>
                <w:rFonts w:eastAsia="宋体" w:cs="Times New Roman"/>
                <w:sz w:val="21"/>
                <w:szCs w:val="21"/>
              </w:rPr>
              <w:t>，相较传统芬顿氧化工艺处理成本降低</w:t>
            </w:r>
            <w:r w:rsidRPr="00E57429">
              <w:rPr>
                <w:rFonts w:eastAsia="宋体" w:cs="Times New Roman"/>
                <w:sz w:val="21"/>
                <w:szCs w:val="21"/>
              </w:rPr>
              <w:t>50%</w:t>
            </w:r>
            <w:r w:rsidRPr="00E57429">
              <w:rPr>
                <w:rFonts w:eastAsia="宋体" w:cs="Times New Roman"/>
                <w:sz w:val="21"/>
                <w:szCs w:val="21"/>
              </w:rPr>
              <w:t>以上，累计处理废水超</w:t>
            </w:r>
            <w:r w:rsidRPr="00E57429">
              <w:rPr>
                <w:rFonts w:eastAsia="宋体" w:cs="Times New Roman"/>
                <w:sz w:val="21"/>
                <w:szCs w:val="21"/>
              </w:rPr>
              <w:t>26</w:t>
            </w:r>
            <w:r w:rsidRPr="00E57429">
              <w:rPr>
                <w:rFonts w:eastAsia="宋体" w:cs="Times New Roman"/>
                <w:sz w:val="21"/>
                <w:szCs w:val="21"/>
              </w:rPr>
              <w:t>万吨。</w:t>
            </w:r>
            <w:bookmarkEnd w:id="1"/>
          </w:p>
        </w:tc>
      </w:tr>
      <w:tr w:rsidR="001C39B9" w14:paraId="0310AA69" w14:textId="77777777" w:rsidTr="00934FE4">
        <w:trPr>
          <w:trHeight w:val="450"/>
          <w:jc w:val="center"/>
        </w:trPr>
        <w:tc>
          <w:tcPr>
            <w:tcW w:w="2263" w:type="dxa"/>
            <w:vAlign w:val="center"/>
          </w:tcPr>
          <w:p w14:paraId="75B22BD2" w14:textId="77777777" w:rsidR="001C39B9" w:rsidRDefault="001C39B9" w:rsidP="00537632">
            <w:pPr>
              <w:spacing w:line="280" w:lineRule="exact"/>
              <w:jc w:val="center"/>
              <w:rPr>
                <w:rFonts w:ascii="黑体" w:eastAsia="黑体" w:hAnsi="黑体" w:cs="黑体" w:hint="eastAsia"/>
                <w:sz w:val="22"/>
              </w:rPr>
            </w:pPr>
            <w:r>
              <w:rPr>
                <w:rFonts w:ascii="黑体" w:eastAsia="黑体" w:hAnsi="黑体" w:cs="黑体" w:hint="eastAsia"/>
                <w:sz w:val="22"/>
              </w:rPr>
              <w:lastRenderedPageBreak/>
              <w:t>主要完成人</w:t>
            </w:r>
          </w:p>
          <w:p w14:paraId="4F4808A8" w14:textId="77777777" w:rsidR="001C39B9" w:rsidRDefault="001C39B9" w:rsidP="00537632">
            <w:pPr>
              <w:spacing w:line="280" w:lineRule="exact"/>
              <w:jc w:val="center"/>
              <w:rPr>
                <w:sz w:val="22"/>
              </w:rPr>
            </w:pPr>
            <w:r>
              <w:rPr>
                <w:rFonts w:ascii="黑体" w:eastAsia="黑体" w:hAnsi="黑体" w:cs="黑体" w:hint="eastAsia"/>
                <w:sz w:val="22"/>
              </w:rPr>
              <w:t>（完成单位）</w:t>
            </w:r>
          </w:p>
        </w:tc>
        <w:tc>
          <w:tcPr>
            <w:tcW w:w="11374" w:type="dxa"/>
            <w:gridSpan w:val="3"/>
            <w:vAlign w:val="center"/>
          </w:tcPr>
          <w:p w14:paraId="1980F3AB" w14:textId="098413EA" w:rsidR="001C39B9" w:rsidRDefault="00E57429" w:rsidP="00E57429">
            <w:pPr>
              <w:spacing w:line="240" w:lineRule="exact"/>
              <w:rPr>
                <w:rFonts w:ascii="宋体" w:eastAsia="宋体" w:hAnsi="宋体" w:cs="宋体" w:hint="eastAsia"/>
                <w:sz w:val="21"/>
                <w:szCs w:val="21"/>
              </w:rPr>
            </w:pPr>
            <w:r>
              <w:rPr>
                <w:rFonts w:ascii="宋体" w:eastAsia="宋体" w:hAnsi="宋体" w:cs="宋体" w:hint="eastAsia"/>
                <w:sz w:val="21"/>
                <w:szCs w:val="21"/>
              </w:rPr>
              <w:t>周涛</w:t>
            </w:r>
            <w:r w:rsidR="001C39B9">
              <w:rPr>
                <w:rFonts w:ascii="宋体" w:eastAsia="宋体" w:hAnsi="宋体" w:cs="宋体" w:hint="eastAsia"/>
                <w:sz w:val="21"/>
                <w:szCs w:val="21"/>
              </w:rPr>
              <w:t>（华中科技大学）</w:t>
            </w:r>
            <w:r>
              <w:rPr>
                <w:rFonts w:ascii="宋体" w:eastAsia="宋体" w:hAnsi="宋体" w:cs="宋体" w:hint="eastAsia"/>
                <w:sz w:val="21"/>
                <w:szCs w:val="21"/>
              </w:rPr>
              <w:t>、黄明杰（华中科技大学）</w:t>
            </w:r>
            <w:r w:rsidR="007B271F">
              <w:rPr>
                <w:rFonts w:ascii="宋体" w:eastAsia="宋体" w:hAnsi="宋体" w:cs="宋体" w:hint="eastAsia"/>
                <w:sz w:val="21"/>
                <w:szCs w:val="21"/>
              </w:rPr>
              <w:t>、王晨（华中科技大学）</w:t>
            </w:r>
            <w:r>
              <w:rPr>
                <w:rFonts w:ascii="宋体" w:eastAsia="宋体" w:hAnsi="宋体" w:cs="宋体" w:hint="eastAsia"/>
                <w:sz w:val="21"/>
                <w:szCs w:val="21"/>
              </w:rPr>
              <w:t>、陈洁洁（中国科学技术大学）、陈飞（</w:t>
            </w:r>
            <w:r w:rsidR="0027726A">
              <w:rPr>
                <w:rFonts w:ascii="宋体" w:eastAsia="宋体" w:hAnsi="宋体" w:cs="宋体" w:hint="eastAsia"/>
                <w:sz w:val="21"/>
                <w:szCs w:val="21"/>
              </w:rPr>
              <w:t>中国科学技术大学</w:t>
            </w:r>
            <w:r>
              <w:rPr>
                <w:rFonts w:ascii="宋体" w:eastAsia="宋体" w:hAnsi="宋体" w:cs="宋体" w:hint="eastAsia"/>
                <w:sz w:val="21"/>
                <w:szCs w:val="21"/>
              </w:rPr>
              <w:t>）</w:t>
            </w:r>
          </w:p>
        </w:tc>
      </w:tr>
    </w:tbl>
    <w:tbl>
      <w:tblPr>
        <w:tblW w:w="4877" w:type="pct"/>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28" w:type="dxa"/>
          <w:right w:w="28" w:type="dxa"/>
        </w:tblCellMar>
        <w:tblLook w:val="04A0" w:firstRow="1" w:lastRow="0" w:firstColumn="1" w:lastColumn="0" w:noHBand="0" w:noVBand="1"/>
      </w:tblPr>
      <w:tblGrid>
        <w:gridCol w:w="279"/>
        <w:gridCol w:w="3366"/>
        <w:gridCol w:w="1192"/>
        <w:gridCol w:w="1076"/>
        <w:gridCol w:w="1095"/>
        <w:gridCol w:w="959"/>
        <w:gridCol w:w="1807"/>
        <w:gridCol w:w="676"/>
        <w:gridCol w:w="814"/>
        <w:gridCol w:w="1098"/>
        <w:gridCol w:w="1240"/>
      </w:tblGrid>
      <w:tr w:rsidR="004D4BB5" w14:paraId="7F1381F9" w14:textId="77777777" w:rsidTr="00934FE4">
        <w:trPr>
          <w:trHeight w:val="1077"/>
          <w:jc w:val="center"/>
        </w:trPr>
        <w:tc>
          <w:tcPr>
            <w:tcW w:w="109" w:type="pct"/>
            <w:tcBorders>
              <w:left w:val="single" w:sz="4" w:space="0" w:color="auto"/>
              <w:bottom w:val="single" w:sz="4" w:space="0" w:color="auto"/>
              <w:right w:val="single" w:sz="4" w:space="0" w:color="auto"/>
            </w:tcBorders>
            <w:vAlign w:val="center"/>
          </w:tcPr>
          <w:p w14:paraId="3C34096E" w14:textId="77777777" w:rsidR="0039780A" w:rsidRPr="0039780A" w:rsidRDefault="0039780A" w:rsidP="0039780A">
            <w:pPr>
              <w:spacing w:line="240" w:lineRule="atLeast"/>
              <w:jc w:val="center"/>
              <w:rPr>
                <w:rFonts w:ascii="宋体" w:eastAsia="宋体" w:hAnsi="宋体" w:hint="eastAsia"/>
                <w:kern w:val="0"/>
                <w:sz w:val="21"/>
                <w:szCs w:val="21"/>
              </w:rPr>
            </w:pPr>
            <w:r w:rsidRPr="0039780A">
              <w:rPr>
                <w:rFonts w:ascii="宋体" w:eastAsia="宋体" w:hAnsi="宋体" w:hint="eastAsia"/>
                <w:kern w:val="0"/>
                <w:sz w:val="21"/>
                <w:szCs w:val="21"/>
              </w:rPr>
              <w:t>序号</w:t>
            </w:r>
          </w:p>
        </w:tc>
        <w:tc>
          <w:tcPr>
            <w:tcW w:w="1244" w:type="pct"/>
            <w:tcBorders>
              <w:left w:val="single" w:sz="4" w:space="0" w:color="auto"/>
              <w:bottom w:val="single" w:sz="4" w:space="0" w:color="auto"/>
              <w:right w:val="single" w:sz="4" w:space="0" w:color="auto"/>
            </w:tcBorders>
            <w:vAlign w:val="center"/>
          </w:tcPr>
          <w:p w14:paraId="335A8320" w14:textId="77777777" w:rsidR="0039780A" w:rsidRPr="0039780A" w:rsidRDefault="0039780A" w:rsidP="0039780A">
            <w:pPr>
              <w:spacing w:line="240" w:lineRule="atLeast"/>
              <w:jc w:val="center"/>
              <w:rPr>
                <w:rFonts w:ascii="宋体" w:eastAsia="宋体" w:hAnsi="宋体" w:hint="eastAsia"/>
                <w:kern w:val="0"/>
                <w:sz w:val="21"/>
                <w:szCs w:val="21"/>
              </w:rPr>
            </w:pPr>
            <w:r w:rsidRPr="0039780A">
              <w:rPr>
                <w:rFonts w:ascii="宋体" w:eastAsia="宋体" w:hAnsi="宋体" w:hint="eastAsia"/>
                <w:kern w:val="0"/>
                <w:sz w:val="21"/>
                <w:szCs w:val="21"/>
              </w:rPr>
              <w:t>论文（专著）名称/刊名/作者</w:t>
            </w:r>
          </w:p>
        </w:tc>
        <w:tc>
          <w:tcPr>
            <w:tcW w:w="373" w:type="pct"/>
            <w:tcBorders>
              <w:left w:val="single" w:sz="4" w:space="0" w:color="auto"/>
              <w:bottom w:val="single" w:sz="4" w:space="0" w:color="auto"/>
              <w:right w:val="single" w:sz="4" w:space="0" w:color="auto"/>
            </w:tcBorders>
            <w:vAlign w:val="center"/>
          </w:tcPr>
          <w:p w14:paraId="32652503" w14:textId="77777777" w:rsidR="0039780A" w:rsidRPr="0039780A" w:rsidRDefault="0039780A" w:rsidP="0039780A">
            <w:pPr>
              <w:spacing w:line="240" w:lineRule="atLeast"/>
              <w:jc w:val="center"/>
              <w:rPr>
                <w:rFonts w:ascii="宋体" w:eastAsia="宋体" w:hAnsi="宋体" w:hint="eastAsia"/>
                <w:kern w:val="0"/>
                <w:sz w:val="21"/>
                <w:szCs w:val="21"/>
              </w:rPr>
            </w:pPr>
            <w:r w:rsidRPr="0039780A">
              <w:rPr>
                <w:rFonts w:ascii="宋体" w:eastAsia="宋体" w:hAnsi="宋体" w:hint="eastAsia"/>
                <w:kern w:val="0"/>
                <w:sz w:val="21"/>
                <w:szCs w:val="21"/>
              </w:rPr>
              <w:t>年、卷、页码</w:t>
            </w:r>
          </w:p>
        </w:tc>
        <w:tc>
          <w:tcPr>
            <w:tcW w:w="402" w:type="pct"/>
            <w:tcBorders>
              <w:left w:val="single" w:sz="4" w:space="0" w:color="auto"/>
              <w:bottom w:val="single" w:sz="4" w:space="0" w:color="auto"/>
              <w:right w:val="single" w:sz="4" w:space="0" w:color="auto"/>
            </w:tcBorders>
            <w:vAlign w:val="center"/>
          </w:tcPr>
          <w:p w14:paraId="6D49BB61" w14:textId="77777777" w:rsidR="0039780A" w:rsidRPr="0039780A" w:rsidRDefault="0039780A" w:rsidP="0039780A">
            <w:pPr>
              <w:spacing w:line="240" w:lineRule="atLeast"/>
              <w:jc w:val="center"/>
              <w:rPr>
                <w:rFonts w:ascii="宋体" w:eastAsia="宋体" w:hAnsi="宋体" w:hint="eastAsia"/>
                <w:kern w:val="0"/>
                <w:sz w:val="21"/>
                <w:szCs w:val="21"/>
              </w:rPr>
            </w:pPr>
            <w:r w:rsidRPr="0039780A">
              <w:rPr>
                <w:rFonts w:ascii="宋体" w:eastAsia="宋体" w:hAnsi="宋体" w:hint="eastAsia"/>
                <w:kern w:val="0"/>
                <w:sz w:val="21"/>
                <w:szCs w:val="21"/>
              </w:rPr>
              <w:t>发表时间（年月日）</w:t>
            </w:r>
          </w:p>
        </w:tc>
        <w:tc>
          <w:tcPr>
            <w:tcW w:w="409" w:type="pct"/>
            <w:tcBorders>
              <w:left w:val="single" w:sz="4" w:space="0" w:color="auto"/>
              <w:bottom w:val="single" w:sz="4" w:space="0" w:color="auto"/>
              <w:right w:val="single" w:sz="4" w:space="0" w:color="auto"/>
            </w:tcBorders>
            <w:vAlign w:val="center"/>
          </w:tcPr>
          <w:p w14:paraId="40A66988" w14:textId="77777777" w:rsidR="0039780A" w:rsidRPr="0039780A" w:rsidRDefault="0039780A" w:rsidP="0039780A">
            <w:pPr>
              <w:spacing w:line="240" w:lineRule="atLeast"/>
              <w:jc w:val="center"/>
              <w:rPr>
                <w:rFonts w:ascii="宋体" w:eastAsia="宋体" w:hAnsi="宋体" w:hint="eastAsia"/>
                <w:kern w:val="0"/>
                <w:sz w:val="21"/>
                <w:szCs w:val="21"/>
              </w:rPr>
            </w:pPr>
            <w:r w:rsidRPr="0039780A">
              <w:rPr>
                <w:rFonts w:ascii="宋体" w:eastAsia="宋体" w:hAnsi="宋体" w:hint="eastAsia"/>
                <w:kern w:val="0"/>
                <w:sz w:val="21"/>
                <w:szCs w:val="21"/>
              </w:rPr>
              <w:t>通讯作者（含共同）</w:t>
            </w:r>
          </w:p>
        </w:tc>
        <w:tc>
          <w:tcPr>
            <w:tcW w:w="359" w:type="pct"/>
            <w:tcBorders>
              <w:left w:val="single" w:sz="4" w:space="0" w:color="auto"/>
              <w:bottom w:val="single" w:sz="4" w:space="0" w:color="auto"/>
              <w:right w:val="single" w:sz="4" w:space="0" w:color="auto"/>
            </w:tcBorders>
            <w:vAlign w:val="center"/>
          </w:tcPr>
          <w:p w14:paraId="4B2B5275" w14:textId="77777777" w:rsidR="0039780A" w:rsidRPr="0039780A" w:rsidRDefault="0039780A" w:rsidP="0039780A">
            <w:pPr>
              <w:spacing w:line="240" w:lineRule="atLeast"/>
              <w:jc w:val="center"/>
              <w:rPr>
                <w:rFonts w:ascii="宋体" w:eastAsia="宋体" w:hAnsi="宋体" w:hint="eastAsia"/>
                <w:kern w:val="0"/>
                <w:sz w:val="21"/>
                <w:szCs w:val="21"/>
              </w:rPr>
            </w:pPr>
            <w:r w:rsidRPr="0039780A">
              <w:rPr>
                <w:rFonts w:ascii="宋体" w:eastAsia="宋体" w:hAnsi="宋体" w:hint="eastAsia"/>
                <w:kern w:val="0"/>
                <w:sz w:val="21"/>
                <w:szCs w:val="21"/>
              </w:rPr>
              <w:t>第一作者（含共同）</w:t>
            </w:r>
          </w:p>
        </w:tc>
        <w:tc>
          <w:tcPr>
            <w:tcW w:w="671" w:type="pct"/>
            <w:tcBorders>
              <w:left w:val="single" w:sz="4" w:space="0" w:color="auto"/>
              <w:bottom w:val="single" w:sz="4" w:space="0" w:color="auto"/>
              <w:right w:val="single" w:sz="4" w:space="0" w:color="auto"/>
            </w:tcBorders>
            <w:vAlign w:val="center"/>
          </w:tcPr>
          <w:p w14:paraId="58073A5A" w14:textId="77777777" w:rsidR="0039780A" w:rsidRPr="0039780A" w:rsidRDefault="0039780A" w:rsidP="0039780A">
            <w:pPr>
              <w:spacing w:line="240" w:lineRule="atLeast"/>
              <w:jc w:val="center"/>
              <w:rPr>
                <w:rFonts w:ascii="宋体" w:eastAsia="宋体" w:hAnsi="宋体" w:hint="eastAsia"/>
                <w:kern w:val="0"/>
                <w:sz w:val="21"/>
                <w:szCs w:val="21"/>
              </w:rPr>
            </w:pPr>
            <w:r w:rsidRPr="0039780A">
              <w:rPr>
                <w:rFonts w:ascii="宋体" w:eastAsia="宋体" w:hAnsi="宋体" w:hint="eastAsia"/>
                <w:kern w:val="0"/>
                <w:sz w:val="21"/>
                <w:szCs w:val="21"/>
              </w:rPr>
              <w:t>国内作者</w:t>
            </w:r>
          </w:p>
        </w:tc>
        <w:tc>
          <w:tcPr>
            <w:tcW w:w="255" w:type="pct"/>
            <w:tcBorders>
              <w:left w:val="single" w:sz="4" w:space="0" w:color="auto"/>
              <w:bottom w:val="single" w:sz="4" w:space="0" w:color="auto"/>
              <w:right w:val="single" w:sz="4" w:space="0" w:color="auto"/>
            </w:tcBorders>
            <w:vAlign w:val="center"/>
          </w:tcPr>
          <w:p w14:paraId="28568575" w14:textId="77777777" w:rsidR="0039780A" w:rsidRPr="0039780A" w:rsidRDefault="0039780A" w:rsidP="0039780A">
            <w:pPr>
              <w:spacing w:line="240" w:lineRule="atLeast"/>
              <w:jc w:val="center"/>
              <w:rPr>
                <w:rFonts w:ascii="宋体" w:eastAsia="宋体" w:hAnsi="宋体" w:hint="eastAsia"/>
                <w:kern w:val="0"/>
                <w:sz w:val="21"/>
                <w:szCs w:val="21"/>
              </w:rPr>
            </w:pPr>
            <w:r w:rsidRPr="0039780A">
              <w:rPr>
                <w:rFonts w:ascii="宋体" w:eastAsia="宋体" w:hAnsi="宋体" w:hint="eastAsia"/>
                <w:kern w:val="0"/>
                <w:sz w:val="21"/>
                <w:szCs w:val="21"/>
              </w:rPr>
              <w:t>他引总次数</w:t>
            </w:r>
          </w:p>
        </w:tc>
        <w:tc>
          <w:tcPr>
            <w:tcW w:w="306" w:type="pct"/>
            <w:tcBorders>
              <w:left w:val="single" w:sz="4" w:space="0" w:color="auto"/>
              <w:bottom w:val="single" w:sz="4" w:space="0" w:color="auto"/>
              <w:right w:val="single" w:sz="4" w:space="0" w:color="auto"/>
            </w:tcBorders>
            <w:vAlign w:val="center"/>
          </w:tcPr>
          <w:p w14:paraId="1A4AAF86" w14:textId="77777777" w:rsidR="0039780A" w:rsidRPr="0039780A" w:rsidRDefault="0039780A" w:rsidP="0039780A">
            <w:pPr>
              <w:spacing w:line="240" w:lineRule="atLeast"/>
              <w:jc w:val="center"/>
              <w:rPr>
                <w:rFonts w:ascii="宋体" w:eastAsia="宋体" w:hAnsi="宋体" w:hint="eastAsia"/>
                <w:kern w:val="0"/>
                <w:sz w:val="21"/>
                <w:szCs w:val="21"/>
              </w:rPr>
            </w:pPr>
            <w:r w:rsidRPr="0039780A">
              <w:rPr>
                <w:rFonts w:ascii="宋体" w:eastAsia="宋体" w:hAnsi="宋体" w:hint="eastAsia"/>
                <w:kern w:val="0"/>
                <w:sz w:val="21"/>
                <w:szCs w:val="21"/>
              </w:rPr>
              <w:t>检索数据库</w:t>
            </w:r>
          </w:p>
        </w:tc>
        <w:tc>
          <w:tcPr>
            <w:tcW w:w="410" w:type="pct"/>
            <w:tcBorders>
              <w:left w:val="single" w:sz="4" w:space="0" w:color="auto"/>
              <w:bottom w:val="single" w:sz="4" w:space="0" w:color="auto"/>
            </w:tcBorders>
            <w:vAlign w:val="center"/>
          </w:tcPr>
          <w:p w14:paraId="3E3C6F3D" w14:textId="77777777" w:rsidR="0039780A" w:rsidRPr="0039780A" w:rsidRDefault="0039780A" w:rsidP="0039780A">
            <w:pPr>
              <w:autoSpaceDE w:val="0"/>
              <w:autoSpaceDN w:val="0"/>
              <w:adjustRightInd w:val="0"/>
              <w:spacing w:line="240" w:lineRule="atLeast"/>
              <w:jc w:val="center"/>
              <w:rPr>
                <w:rFonts w:ascii="宋体" w:eastAsia="宋体" w:hAnsi="宋体" w:hint="eastAsia"/>
                <w:kern w:val="0"/>
                <w:sz w:val="21"/>
                <w:szCs w:val="21"/>
              </w:rPr>
            </w:pPr>
            <w:r w:rsidRPr="0039780A">
              <w:rPr>
                <w:rFonts w:ascii="宋体" w:eastAsia="宋体" w:hAnsi="宋体" w:hint="eastAsia"/>
                <w:kern w:val="0"/>
                <w:sz w:val="21"/>
                <w:szCs w:val="21"/>
              </w:rPr>
              <w:t>论文署名单位是否包含国外单位</w:t>
            </w:r>
          </w:p>
        </w:tc>
        <w:tc>
          <w:tcPr>
            <w:tcW w:w="462" w:type="pct"/>
            <w:tcBorders>
              <w:left w:val="single" w:sz="4" w:space="0" w:color="auto"/>
              <w:bottom w:val="single" w:sz="4" w:space="0" w:color="auto"/>
            </w:tcBorders>
            <w:vAlign w:val="center"/>
          </w:tcPr>
          <w:p w14:paraId="2F843C8C" w14:textId="77777777" w:rsidR="0039780A" w:rsidRPr="0039780A" w:rsidRDefault="0039780A" w:rsidP="0039780A">
            <w:pPr>
              <w:autoSpaceDE w:val="0"/>
              <w:autoSpaceDN w:val="0"/>
              <w:adjustRightInd w:val="0"/>
              <w:spacing w:line="240" w:lineRule="atLeast"/>
              <w:jc w:val="center"/>
              <w:rPr>
                <w:rFonts w:ascii="宋体" w:eastAsia="宋体" w:hAnsi="宋体" w:hint="eastAsia"/>
                <w:kern w:val="0"/>
                <w:sz w:val="21"/>
                <w:szCs w:val="21"/>
              </w:rPr>
            </w:pPr>
            <w:r w:rsidRPr="0039780A">
              <w:rPr>
                <w:rFonts w:ascii="宋体" w:eastAsia="宋体" w:hAnsi="宋体" w:hint="eastAsia"/>
                <w:kern w:val="0"/>
                <w:sz w:val="21"/>
                <w:szCs w:val="21"/>
              </w:rPr>
              <w:t>是否国内期刊，如是请填写CN号</w:t>
            </w:r>
          </w:p>
        </w:tc>
      </w:tr>
      <w:tr w:rsidR="00934FE4" w14:paraId="68CACBDB" w14:textId="77777777" w:rsidTr="00934FE4">
        <w:trPr>
          <w:trHeight w:val="397"/>
          <w:jc w:val="center"/>
        </w:trPr>
        <w:tc>
          <w:tcPr>
            <w:tcW w:w="109" w:type="pct"/>
            <w:tcBorders>
              <w:top w:val="single" w:sz="4" w:space="0" w:color="auto"/>
              <w:left w:val="single" w:sz="4" w:space="0" w:color="auto"/>
              <w:bottom w:val="single" w:sz="4" w:space="0" w:color="auto"/>
              <w:right w:val="single" w:sz="4" w:space="0" w:color="auto"/>
            </w:tcBorders>
            <w:vAlign w:val="center"/>
          </w:tcPr>
          <w:p w14:paraId="2A6E39B9" w14:textId="77777777" w:rsidR="00934FE4" w:rsidRPr="0039780A" w:rsidRDefault="00934FE4" w:rsidP="00934FE4">
            <w:pPr>
              <w:jc w:val="center"/>
              <w:rPr>
                <w:rFonts w:ascii="宋体" w:eastAsia="宋体" w:hAnsi="宋体" w:hint="eastAsia"/>
                <w:kern w:val="0"/>
                <w:sz w:val="21"/>
                <w:szCs w:val="21"/>
              </w:rPr>
            </w:pPr>
            <w:bookmarkStart w:id="2" w:name="论文"/>
            <w:bookmarkEnd w:id="2"/>
            <w:r w:rsidRPr="0039780A">
              <w:rPr>
                <w:rFonts w:ascii="宋体" w:eastAsia="宋体" w:hAnsi="宋体" w:hint="eastAsia"/>
                <w:kern w:val="0"/>
                <w:sz w:val="21"/>
                <w:szCs w:val="21"/>
              </w:rPr>
              <w:t>1</w:t>
            </w:r>
          </w:p>
        </w:tc>
        <w:tc>
          <w:tcPr>
            <w:tcW w:w="1244" w:type="pct"/>
            <w:tcBorders>
              <w:top w:val="single" w:sz="4" w:space="0" w:color="auto"/>
              <w:left w:val="single" w:sz="4" w:space="0" w:color="auto"/>
              <w:bottom w:val="single" w:sz="4" w:space="0" w:color="auto"/>
              <w:right w:val="single" w:sz="4" w:space="0" w:color="auto"/>
            </w:tcBorders>
            <w:vAlign w:val="center"/>
          </w:tcPr>
          <w:p w14:paraId="61A9493E" w14:textId="595460AD" w:rsidR="00934FE4" w:rsidRPr="007328CD" w:rsidRDefault="00934FE4" w:rsidP="00934FE4">
            <w:pPr>
              <w:snapToGrid w:val="0"/>
              <w:spacing w:line="240" w:lineRule="auto"/>
              <w:jc w:val="center"/>
              <w:rPr>
                <w:rFonts w:ascii="仿宋_GB2312"/>
                <w:sz w:val="21"/>
                <w:szCs w:val="21"/>
              </w:rPr>
            </w:pPr>
            <w:r w:rsidRPr="007328CD">
              <w:rPr>
                <w:rFonts w:cs="Times New Roman"/>
                <w:sz w:val="21"/>
                <w:szCs w:val="21"/>
              </w:rPr>
              <w:t xml:space="preserve">In situ-formed phenoxyl radical on the CuO surface triggers efficient persulfate activation for phenol degradation. Environmental Science &amp; Technology. </w:t>
            </w:r>
            <w:r w:rsidR="007328CD" w:rsidRPr="007328CD">
              <w:rPr>
                <w:rFonts w:cs="Times New Roman"/>
                <w:sz w:val="21"/>
                <w:szCs w:val="21"/>
              </w:rPr>
              <w:t>Mingjie Huang, Yi Han, Wei Xiang, Delai Zhong, Chen Wang, Tao Zhou*, Xiaohui Wu, Juan Mao</w:t>
            </w:r>
          </w:p>
        </w:tc>
        <w:tc>
          <w:tcPr>
            <w:tcW w:w="373" w:type="pct"/>
            <w:tcBorders>
              <w:top w:val="single" w:sz="4" w:space="0" w:color="auto"/>
              <w:left w:val="single" w:sz="4" w:space="0" w:color="auto"/>
              <w:bottom w:val="single" w:sz="4" w:space="0" w:color="auto"/>
              <w:right w:val="single" w:sz="4" w:space="0" w:color="auto"/>
            </w:tcBorders>
            <w:vAlign w:val="center"/>
          </w:tcPr>
          <w:p w14:paraId="366BC3F7" w14:textId="249363A9" w:rsidR="00934FE4" w:rsidRPr="00934FE4" w:rsidRDefault="00934FE4" w:rsidP="00934FE4">
            <w:pPr>
              <w:snapToGrid w:val="0"/>
              <w:spacing w:line="240" w:lineRule="auto"/>
              <w:jc w:val="center"/>
              <w:rPr>
                <w:rFonts w:ascii="仿宋_GB2312"/>
                <w:sz w:val="21"/>
                <w:szCs w:val="21"/>
              </w:rPr>
            </w:pPr>
            <w:r w:rsidRPr="00934FE4">
              <w:rPr>
                <w:rFonts w:cs="Times New Roman"/>
                <w:sz w:val="21"/>
                <w:szCs w:val="21"/>
              </w:rPr>
              <w:t>2021, 55(22): 15361-15370</w:t>
            </w:r>
          </w:p>
        </w:tc>
        <w:tc>
          <w:tcPr>
            <w:tcW w:w="402" w:type="pct"/>
            <w:tcBorders>
              <w:top w:val="single" w:sz="4" w:space="0" w:color="auto"/>
              <w:left w:val="single" w:sz="4" w:space="0" w:color="auto"/>
              <w:bottom w:val="single" w:sz="4" w:space="0" w:color="auto"/>
              <w:right w:val="single" w:sz="4" w:space="0" w:color="auto"/>
            </w:tcBorders>
            <w:vAlign w:val="center"/>
          </w:tcPr>
          <w:p w14:paraId="5F49988B" w14:textId="4563194B" w:rsidR="00934FE4" w:rsidRPr="00934FE4" w:rsidRDefault="00934FE4" w:rsidP="00934FE4">
            <w:pPr>
              <w:snapToGrid w:val="0"/>
              <w:spacing w:line="240" w:lineRule="auto"/>
              <w:jc w:val="center"/>
              <w:rPr>
                <w:rFonts w:ascii="仿宋_GB2312"/>
                <w:sz w:val="21"/>
                <w:szCs w:val="21"/>
              </w:rPr>
            </w:pPr>
            <w:r w:rsidRPr="00934FE4">
              <w:rPr>
                <w:rFonts w:cs="Times New Roman"/>
                <w:sz w:val="21"/>
                <w:szCs w:val="21"/>
              </w:rPr>
              <w:t>2021-10-26</w:t>
            </w:r>
          </w:p>
        </w:tc>
        <w:tc>
          <w:tcPr>
            <w:tcW w:w="409" w:type="pct"/>
            <w:tcBorders>
              <w:top w:val="single" w:sz="4" w:space="0" w:color="auto"/>
              <w:left w:val="single" w:sz="4" w:space="0" w:color="auto"/>
              <w:bottom w:val="single" w:sz="4" w:space="0" w:color="auto"/>
              <w:right w:val="single" w:sz="4" w:space="0" w:color="auto"/>
            </w:tcBorders>
            <w:vAlign w:val="center"/>
          </w:tcPr>
          <w:p w14:paraId="256E0715" w14:textId="7DFB949E" w:rsidR="00934FE4" w:rsidRPr="00934FE4" w:rsidRDefault="007328CD" w:rsidP="00934FE4">
            <w:pPr>
              <w:snapToGrid w:val="0"/>
              <w:spacing w:line="240" w:lineRule="auto"/>
              <w:jc w:val="center"/>
              <w:rPr>
                <w:rFonts w:ascii="仿宋_GB2312"/>
                <w:sz w:val="21"/>
                <w:szCs w:val="21"/>
              </w:rPr>
            </w:pPr>
            <w:r w:rsidRPr="007328CD">
              <w:rPr>
                <w:rFonts w:cs="Times New Roman"/>
                <w:bCs/>
                <w:sz w:val="21"/>
                <w:szCs w:val="21"/>
              </w:rPr>
              <w:t>Tao Zhou</w:t>
            </w:r>
          </w:p>
        </w:tc>
        <w:tc>
          <w:tcPr>
            <w:tcW w:w="359" w:type="pct"/>
            <w:tcBorders>
              <w:top w:val="single" w:sz="4" w:space="0" w:color="auto"/>
              <w:left w:val="single" w:sz="4" w:space="0" w:color="auto"/>
              <w:bottom w:val="single" w:sz="4" w:space="0" w:color="auto"/>
              <w:right w:val="single" w:sz="4" w:space="0" w:color="auto"/>
            </w:tcBorders>
            <w:vAlign w:val="center"/>
          </w:tcPr>
          <w:p w14:paraId="09126A67" w14:textId="3AD75DE9" w:rsidR="00934FE4" w:rsidRPr="00934FE4" w:rsidRDefault="007328CD" w:rsidP="00934FE4">
            <w:pPr>
              <w:snapToGrid w:val="0"/>
              <w:spacing w:line="240" w:lineRule="auto"/>
              <w:jc w:val="center"/>
              <w:rPr>
                <w:rFonts w:ascii="仿宋_GB2312"/>
                <w:sz w:val="21"/>
                <w:szCs w:val="21"/>
              </w:rPr>
            </w:pPr>
            <w:r w:rsidRPr="007328CD">
              <w:rPr>
                <w:rFonts w:cs="Times New Roman"/>
                <w:bCs/>
                <w:sz w:val="21"/>
                <w:szCs w:val="21"/>
              </w:rPr>
              <w:t>Mingjie Huang</w:t>
            </w:r>
          </w:p>
        </w:tc>
        <w:tc>
          <w:tcPr>
            <w:tcW w:w="671" w:type="pct"/>
            <w:tcBorders>
              <w:top w:val="single" w:sz="4" w:space="0" w:color="auto"/>
              <w:left w:val="single" w:sz="4" w:space="0" w:color="auto"/>
              <w:bottom w:val="single" w:sz="4" w:space="0" w:color="auto"/>
              <w:right w:val="single" w:sz="4" w:space="0" w:color="auto"/>
            </w:tcBorders>
            <w:vAlign w:val="center"/>
          </w:tcPr>
          <w:p w14:paraId="2288A69F" w14:textId="3E056E27" w:rsidR="00934FE4" w:rsidRPr="00934FE4" w:rsidRDefault="00934FE4" w:rsidP="00934FE4">
            <w:pPr>
              <w:snapToGrid w:val="0"/>
              <w:spacing w:line="240" w:lineRule="auto"/>
              <w:jc w:val="center"/>
              <w:rPr>
                <w:rFonts w:ascii="仿宋_GB2312"/>
                <w:sz w:val="21"/>
                <w:szCs w:val="21"/>
              </w:rPr>
            </w:pPr>
            <w:r w:rsidRPr="00934FE4">
              <w:rPr>
                <w:rFonts w:cs="Times New Roman" w:hint="eastAsia"/>
                <w:sz w:val="21"/>
                <w:szCs w:val="21"/>
              </w:rPr>
              <w:t>黄明杰</w:t>
            </w:r>
            <w:r w:rsidRPr="00934FE4">
              <w:rPr>
                <w:rFonts w:cs="Times New Roman" w:hint="eastAsia"/>
                <w:sz w:val="21"/>
                <w:szCs w:val="21"/>
              </w:rPr>
              <w:t>,</w:t>
            </w:r>
            <w:r w:rsidR="003D2785">
              <w:rPr>
                <w:rFonts w:cs="Times New Roman" w:hint="eastAsia"/>
                <w:sz w:val="21"/>
                <w:szCs w:val="21"/>
              </w:rPr>
              <w:t xml:space="preserve"> </w:t>
            </w:r>
            <w:r w:rsidRPr="00934FE4">
              <w:rPr>
                <w:rFonts w:cs="Times New Roman" w:hint="eastAsia"/>
                <w:sz w:val="21"/>
                <w:szCs w:val="21"/>
              </w:rPr>
              <w:t>韩仪</w:t>
            </w:r>
            <w:r w:rsidRPr="00934FE4">
              <w:rPr>
                <w:rFonts w:cs="Times New Roman" w:hint="eastAsia"/>
                <w:sz w:val="21"/>
                <w:szCs w:val="21"/>
              </w:rPr>
              <w:t xml:space="preserve">, </w:t>
            </w:r>
            <w:r w:rsidRPr="00934FE4">
              <w:rPr>
                <w:rFonts w:cs="Times New Roman" w:hint="eastAsia"/>
                <w:sz w:val="21"/>
                <w:szCs w:val="21"/>
              </w:rPr>
              <w:t>向威</w:t>
            </w:r>
            <w:r w:rsidRPr="00934FE4">
              <w:rPr>
                <w:rFonts w:cs="Times New Roman" w:hint="eastAsia"/>
                <w:sz w:val="21"/>
                <w:szCs w:val="21"/>
              </w:rPr>
              <w:t xml:space="preserve">, </w:t>
            </w:r>
            <w:r w:rsidRPr="00934FE4">
              <w:rPr>
                <w:rFonts w:cs="Times New Roman" w:hint="eastAsia"/>
                <w:sz w:val="21"/>
                <w:szCs w:val="21"/>
              </w:rPr>
              <w:t>钟德来</w:t>
            </w:r>
            <w:r w:rsidRPr="00934FE4">
              <w:rPr>
                <w:rFonts w:cs="Times New Roman" w:hint="eastAsia"/>
                <w:sz w:val="21"/>
                <w:szCs w:val="21"/>
              </w:rPr>
              <w:t xml:space="preserve">, </w:t>
            </w:r>
            <w:r w:rsidRPr="00934FE4">
              <w:rPr>
                <w:rFonts w:cs="Times New Roman" w:hint="eastAsia"/>
                <w:sz w:val="21"/>
                <w:szCs w:val="21"/>
              </w:rPr>
              <w:t>王晨</w:t>
            </w:r>
            <w:r w:rsidRPr="00934FE4">
              <w:rPr>
                <w:rFonts w:cs="Times New Roman" w:hint="eastAsia"/>
                <w:sz w:val="21"/>
                <w:szCs w:val="21"/>
              </w:rPr>
              <w:t xml:space="preserve">, </w:t>
            </w:r>
            <w:r w:rsidRPr="00934FE4">
              <w:rPr>
                <w:rFonts w:cs="Times New Roman" w:hint="eastAsia"/>
                <w:sz w:val="21"/>
                <w:szCs w:val="21"/>
              </w:rPr>
              <w:t>周涛</w:t>
            </w:r>
            <w:r w:rsidRPr="00934FE4">
              <w:rPr>
                <w:rFonts w:cs="Times New Roman" w:hint="eastAsia"/>
                <w:sz w:val="21"/>
                <w:szCs w:val="21"/>
              </w:rPr>
              <w:t xml:space="preserve">, </w:t>
            </w:r>
            <w:r w:rsidRPr="00934FE4">
              <w:rPr>
                <w:rFonts w:cs="Times New Roman" w:hint="eastAsia"/>
                <w:sz w:val="21"/>
                <w:szCs w:val="21"/>
              </w:rPr>
              <w:t>吴晓晖</w:t>
            </w:r>
            <w:r w:rsidRPr="00934FE4">
              <w:rPr>
                <w:rFonts w:cs="Times New Roman" w:hint="eastAsia"/>
                <w:sz w:val="21"/>
                <w:szCs w:val="21"/>
              </w:rPr>
              <w:t xml:space="preserve">, </w:t>
            </w:r>
            <w:r w:rsidRPr="00934FE4">
              <w:rPr>
                <w:rFonts w:cs="Times New Roman" w:hint="eastAsia"/>
                <w:sz w:val="21"/>
                <w:szCs w:val="21"/>
              </w:rPr>
              <w:t>毛娟</w:t>
            </w:r>
          </w:p>
        </w:tc>
        <w:tc>
          <w:tcPr>
            <w:tcW w:w="255" w:type="pct"/>
            <w:tcBorders>
              <w:top w:val="single" w:sz="4" w:space="0" w:color="auto"/>
              <w:left w:val="single" w:sz="4" w:space="0" w:color="auto"/>
              <w:bottom w:val="single" w:sz="4" w:space="0" w:color="auto"/>
              <w:right w:val="single" w:sz="4" w:space="0" w:color="auto"/>
            </w:tcBorders>
            <w:vAlign w:val="center"/>
          </w:tcPr>
          <w:p w14:paraId="6F6CD3E3" w14:textId="65164773" w:rsidR="00934FE4" w:rsidRPr="00934FE4" w:rsidRDefault="003D2785" w:rsidP="00934FE4">
            <w:pPr>
              <w:snapToGrid w:val="0"/>
              <w:spacing w:line="240" w:lineRule="auto"/>
              <w:jc w:val="center"/>
              <w:rPr>
                <w:rFonts w:ascii="仿宋_GB2312"/>
                <w:sz w:val="21"/>
                <w:szCs w:val="21"/>
              </w:rPr>
            </w:pPr>
            <w:r>
              <w:rPr>
                <w:rFonts w:cs="Times New Roman" w:hint="eastAsia"/>
                <w:sz w:val="21"/>
                <w:szCs w:val="21"/>
              </w:rPr>
              <w:t>124</w:t>
            </w:r>
          </w:p>
        </w:tc>
        <w:tc>
          <w:tcPr>
            <w:tcW w:w="306" w:type="pct"/>
            <w:tcBorders>
              <w:top w:val="single" w:sz="4" w:space="0" w:color="auto"/>
              <w:left w:val="single" w:sz="4" w:space="0" w:color="auto"/>
              <w:bottom w:val="single" w:sz="4" w:space="0" w:color="auto"/>
              <w:right w:val="single" w:sz="4" w:space="0" w:color="auto"/>
            </w:tcBorders>
            <w:vAlign w:val="center"/>
          </w:tcPr>
          <w:p w14:paraId="3D099929" w14:textId="7B366848" w:rsidR="00934FE4" w:rsidRPr="00934FE4" w:rsidRDefault="00934FE4" w:rsidP="00934FE4">
            <w:pPr>
              <w:snapToGrid w:val="0"/>
              <w:spacing w:line="240" w:lineRule="auto"/>
              <w:jc w:val="center"/>
              <w:rPr>
                <w:rFonts w:ascii="仿宋_GB2312"/>
                <w:sz w:val="21"/>
                <w:szCs w:val="21"/>
              </w:rPr>
            </w:pPr>
            <w:r w:rsidRPr="00934FE4">
              <w:rPr>
                <w:rFonts w:cs="Times New Roman" w:hint="eastAsia"/>
                <w:sz w:val="21"/>
                <w:szCs w:val="21"/>
              </w:rPr>
              <w:t>WOS</w:t>
            </w:r>
          </w:p>
        </w:tc>
        <w:tc>
          <w:tcPr>
            <w:tcW w:w="410" w:type="pct"/>
            <w:tcBorders>
              <w:top w:val="single" w:sz="4" w:space="0" w:color="auto"/>
              <w:left w:val="single" w:sz="4" w:space="0" w:color="auto"/>
              <w:bottom w:val="single" w:sz="4" w:space="0" w:color="auto"/>
            </w:tcBorders>
            <w:vAlign w:val="center"/>
          </w:tcPr>
          <w:p w14:paraId="344590BD" w14:textId="714B9B6C" w:rsidR="00934FE4" w:rsidRPr="00934FE4" w:rsidRDefault="00934FE4" w:rsidP="00934FE4">
            <w:pPr>
              <w:snapToGrid w:val="0"/>
              <w:spacing w:line="240" w:lineRule="auto"/>
              <w:jc w:val="center"/>
              <w:rPr>
                <w:rFonts w:ascii="仿宋_GB2312"/>
                <w:sz w:val="21"/>
                <w:szCs w:val="21"/>
              </w:rPr>
            </w:pPr>
            <w:r w:rsidRPr="00934FE4">
              <w:rPr>
                <w:rFonts w:cs="Times New Roman" w:hint="eastAsia"/>
                <w:sz w:val="21"/>
                <w:szCs w:val="21"/>
              </w:rPr>
              <w:t>否</w:t>
            </w:r>
          </w:p>
        </w:tc>
        <w:tc>
          <w:tcPr>
            <w:tcW w:w="462" w:type="pct"/>
            <w:tcBorders>
              <w:top w:val="single" w:sz="4" w:space="0" w:color="auto"/>
              <w:left w:val="single" w:sz="4" w:space="0" w:color="auto"/>
              <w:bottom w:val="single" w:sz="4" w:space="0" w:color="auto"/>
            </w:tcBorders>
            <w:vAlign w:val="center"/>
          </w:tcPr>
          <w:p w14:paraId="6BCE6A24" w14:textId="7C967571" w:rsidR="00934FE4" w:rsidRPr="00934FE4" w:rsidRDefault="00934FE4" w:rsidP="00934FE4">
            <w:pPr>
              <w:snapToGrid w:val="0"/>
              <w:spacing w:line="240" w:lineRule="auto"/>
              <w:jc w:val="center"/>
              <w:rPr>
                <w:rFonts w:ascii="仿宋_GB2312"/>
                <w:sz w:val="21"/>
                <w:szCs w:val="21"/>
              </w:rPr>
            </w:pPr>
            <w:r w:rsidRPr="00934FE4">
              <w:rPr>
                <w:rFonts w:cs="Times New Roman" w:hint="eastAsia"/>
                <w:sz w:val="21"/>
                <w:szCs w:val="21"/>
              </w:rPr>
              <w:t>否</w:t>
            </w:r>
          </w:p>
        </w:tc>
      </w:tr>
      <w:tr w:rsidR="00934FE4" w14:paraId="23BC1639" w14:textId="77777777" w:rsidTr="00934FE4">
        <w:trPr>
          <w:trHeight w:val="397"/>
          <w:jc w:val="center"/>
        </w:trPr>
        <w:tc>
          <w:tcPr>
            <w:tcW w:w="109" w:type="pct"/>
            <w:tcBorders>
              <w:top w:val="single" w:sz="4" w:space="0" w:color="auto"/>
              <w:left w:val="single" w:sz="4" w:space="0" w:color="auto"/>
              <w:bottom w:val="single" w:sz="4" w:space="0" w:color="auto"/>
              <w:right w:val="single" w:sz="4" w:space="0" w:color="auto"/>
            </w:tcBorders>
            <w:vAlign w:val="center"/>
          </w:tcPr>
          <w:p w14:paraId="46FB763C" w14:textId="77777777" w:rsidR="00934FE4" w:rsidRPr="0039780A" w:rsidRDefault="00934FE4" w:rsidP="00934FE4">
            <w:pPr>
              <w:jc w:val="center"/>
              <w:rPr>
                <w:rFonts w:ascii="宋体" w:eastAsia="宋体" w:hAnsi="宋体" w:hint="eastAsia"/>
                <w:kern w:val="0"/>
                <w:sz w:val="21"/>
                <w:szCs w:val="21"/>
              </w:rPr>
            </w:pPr>
            <w:r w:rsidRPr="0039780A">
              <w:rPr>
                <w:rFonts w:ascii="宋体" w:eastAsia="宋体" w:hAnsi="宋体" w:hint="eastAsia"/>
                <w:kern w:val="0"/>
                <w:sz w:val="21"/>
                <w:szCs w:val="21"/>
              </w:rPr>
              <w:lastRenderedPageBreak/>
              <w:t>2</w:t>
            </w:r>
          </w:p>
        </w:tc>
        <w:tc>
          <w:tcPr>
            <w:tcW w:w="1244" w:type="pct"/>
            <w:tcBorders>
              <w:top w:val="single" w:sz="4" w:space="0" w:color="auto"/>
              <w:left w:val="single" w:sz="4" w:space="0" w:color="auto"/>
              <w:bottom w:val="single" w:sz="4" w:space="0" w:color="auto"/>
              <w:right w:val="single" w:sz="4" w:space="0" w:color="auto"/>
            </w:tcBorders>
            <w:vAlign w:val="center"/>
          </w:tcPr>
          <w:p w14:paraId="37F3C84B" w14:textId="6B53D9D4" w:rsidR="00934FE4" w:rsidRPr="007328CD" w:rsidRDefault="00934FE4" w:rsidP="00934FE4">
            <w:pPr>
              <w:snapToGrid w:val="0"/>
              <w:spacing w:line="240" w:lineRule="auto"/>
              <w:jc w:val="center"/>
              <w:rPr>
                <w:rFonts w:ascii="仿宋_GB2312"/>
                <w:sz w:val="21"/>
                <w:szCs w:val="21"/>
              </w:rPr>
            </w:pPr>
            <w:r w:rsidRPr="007328CD">
              <w:rPr>
                <w:rFonts w:cs="Times New Roman"/>
                <w:sz w:val="21"/>
                <w:szCs w:val="21"/>
              </w:rPr>
              <w:t xml:space="preserve">Facilely tuning the intrinsic catalytic sites of the spinel oxide for peroxymonosulfate activation: From fundamental investigation to pilot-scale demonstration. Proceedings of the National Academy of Sciences of the United States of America. </w:t>
            </w:r>
            <w:r w:rsidR="007328CD" w:rsidRPr="007328CD">
              <w:rPr>
                <w:rFonts w:cs="Times New Roman"/>
                <w:sz w:val="21"/>
                <w:szCs w:val="21"/>
              </w:rPr>
              <w:t>Mingjie Huang, Yu-Sheng Li, Chuan-Qi Zhang, Chao Cui, Qing-Qing Huang, Mengkai Li, Zhimin Qiang, Tao Zhou, Xiaohui Wu, and Han-Qing Yu</w:t>
            </w:r>
          </w:p>
        </w:tc>
        <w:tc>
          <w:tcPr>
            <w:tcW w:w="373" w:type="pct"/>
            <w:tcBorders>
              <w:top w:val="single" w:sz="4" w:space="0" w:color="auto"/>
              <w:left w:val="single" w:sz="4" w:space="0" w:color="auto"/>
              <w:bottom w:val="single" w:sz="4" w:space="0" w:color="auto"/>
              <w:right w:val="single" w:sz="4" w:space="0" w:color="auto"/>
            </w:tcBorders>
            <w:vAlign w:val="center"/>
          </w:tcPr>
          <w:p w14:paraId="1E57BFB0" w14:textId="17E7BFE1" w:rsidR="00934FE4" w:rsidRPr="00934FE4" w:rsidRDefault="00934FE4" w:rsidP="00934FE4">
            <w:pPr>
              <w:snapToGrid w:val="0"/>
              <w:spacing w:line="240" w:lineRule="auto"/>
              <w:jc w:val="center"/>
              <w:rPr>
                <w:rFonts w:ascii="仿宋_GB2312"/>
                <w:sz w:val="21"/>
                <w:szCs w:val="21"/>
              </w:rPr>
            </w:pPr>
            <w:r w:rsidRPr="00934FE4">
              <w:rPr>
                <w:rFonts w:cs="Times New Roman"/>
                <w:sz w:val="21"/>
                <w:szCs w:val="21"/>
              </w:rPr>
              <w:t>2022, 119(30): e2202682119</w:t>
            </w:r>
          </w:p>
        </w:tc>
        <w:tc>
          <w:tcPr>
            <w:tcW w:w="402" w:type="pct"/>
            <w:tcBorders>
              <w:top w:val="single" w:sz="4" w:space="0" w:color="auto"/>
              <w:left w:val="single" w:sz="4" w:space="0" w:color="auto"/>
              <w:bottom w:val="single" w:sz="4" w:space="0" w:color="auto"/>
              <w:right w:val="single" w:sz="4" w:space="0" w:color="auto"/>
            </w:tcBorders>
            <w:vAlign w:val="center"/>
          </w:tcPr>
          <w:p w14:paraId="27617FA2" w14:textId="30B8E538" w:rsidR="00934FE4" w:rsidRPr="00934FE4" w:rsidRDefault="00934FE4" w:rsidP="00934FE4">
            <w:pPr>
              <w:snapToGrid w:val="0"/>
              <w:spacing w:line="240" w:lineRule="auto"/>
              <w:jc w:val="center"/>
              <w:rPr>
                <w:rFonts w:ascii="仿宋_GB2312"/>
                <w:sz w:val="21"/>
                <w:szCs w:val="21"/>
              </w:rPr>
            </w:pPr>
            <w:r w:rsidRPr="00934FE4">
              <w:rPr>
                <w:rFonts w:cs="Times New Roman"/>
                <w:sz w:val="21"/>
                <w:szCs w:val="21"/>
              </w:rPr>
              <w:t>2022-07-18</w:t>
            </w:r>
          </w:p>
        </w:tc>
        <w:tc>
          <w:tcPr>
            <w:tcW w:w="409" w:type="pct"/>
            <w:tcBorders>
              <w:top w:val="single" w:sz="4" w:space="0" w:color="auto"/>
              <w:left w:val="single" w:sz="4" w:space="0" w:color="auto"/>
              <w:bottom w:val="single" w:sz="4" w:space="0" w:color="auto"/>
              <w:right w:val="single" w:sz="4" w:space="0" w:color="auto"/>
            </w:tcBorders>
            <w:vAlign w:val="center"/>
          </w:tcPr>
          <w:p w14:paraId="626A2245" w14:textId="6E61A8F5" w:rsidR="00934FE4" w:rsidRPr="00934FE4" w:rsidRDefault="007328CD" w:rsidP="00934FE4">
            <w:pPr>
              <w:snapToGrid w:val="0"/>
              <w:spacing w:line="240" w:lineRule="auto"/>
              <w:jc w:val="center"/>
              <w:rPr>
                <w:rFonts w:ascii="仿宋_GB2312"/>
                <w:sz w:val="21"/>
                <w:szCs w:val="21"/>
              </w:rPr>
            </w:pPr>
            <w:r w:rsidRPr="007328CD">
              <w:rPr>
                <w:rFonts w:cs="Times New Roman"/>
                <w:sz w:val="21"/>
                <w:szCs w:val="21"/>
              </w:rPr>
              <w:t>Han-Qing Yu</w:t>
            </w:r>
          </w:p>
        </w:tc>
        <w:tc>
          <w:tcPr>
            <w:tcW w:w="359" w:type="pct"/>
            <w:tcBorders>
              <w:top w:val="single" w:sz="4" w:space="0" w:color="auto"/>
              <w:left w:val="single" w:sz="4" w:space="0" w:color="auto"/>
              <w:bottom w:val="single" w:sz="4" w:space="0" w:color="auto"/>
              <w:right w:val="single" w:sz="4" w:space="0" w:color="auto"/>
            </w:tcBorders>
            <w:vAlign w:val="center"/>
          </w:tcPr>
          <w:p w14:paraId="1CB1A8A8" w14:textId="2766EA53" w:rsidR="00934FE4" w:rsidRPr="00934FE4" w:rsidRDefault="007328CD" w:rsidP="00934FE4">
            <w:pPr>
              <w:snapToGrid w:val="0"/>
              <w:spacing w:line="240" w:lineRule="auto"/>
              <w:jc w:val="center"/>
              <w:rPr>
                <w:rFonts w:ascii="仿宋_GB2312"/>
                <w:sz w:val="21"/>
                <w:szCs w:val="21"/>
              </w:rPr>
            </w:pPr>
            <w:r w:rsidRPr="007328CD">
              <w:rPr>
                <w:rFonts w:cs="Times New Roman"/>
                <w:bCs/>
                <w:sz w:val="21"/>
                <w:szCs w:val="21"/>
              </w:rPr>
              <w:t>Mingjie Huang</w:t>
            </w:r>
          </w:p>
        </w:tc>
        <w:tc>
          <w:tcPr>
            <w:tcW w:w="671" w:type="pct"/>
            <w:tcBorders>
              <w:top w:val="single" w:sz="4" w:space="0" w:color="auto"/>
              <w:left w:val="single" w:sz="4" w:space="0" w:color="auto"/>
              <w:bottom w:val="single" w:sz="4" w:space="0" w:color="auto"/>
              <w:right w:val="single" w:sz="4" w:space="0" w:color="auto"/>
            </w:tcBorders>
            <w:vAlign w:val="center"/>
          </w:tcPr>
          <w:p w14:paraId="669FE49C" w14:textId="3A54DFD3" w:rsidR="00934FE4" w:rsidRPr="00934FE4" w:rsidRDefault="00934FE4" w:rsidP="00934FE4">
            <w:pPr>
              <w:snapToGrid w:val="0"/>
              <w:spacing w:line="240" w:lineRule="auto"/>
              <w:jc w:val="center"/>
              <w:rPr>
                <w:rFonts w:ascii="仿宋_GB2312"/>
                <w:sz w:val="21"/>
                <w:szCs w:val="21"/>
              </w:rPr>
            </w:pPr>
            <w:r w:rsidRPr="00934FE4">
              <w:rPr>
                <w:rFonts w:cs="Times New Roman" w:hint="eastAsia"/>
                <w:sz w:val="21"/>
                <w:szCs w:val="21"/>
              </w:rPr>
              <w:t>黄明杰</w:t>
            </w:r>
            <w:r w:rsidRPr="00934FE4">
              <w:rPr>
                <w:rFonts w:cs="Times New Roman" w:hint="eastAsia"/>
                <w:sz w:val="21"/>
                <w:szCs w:val="21"/>
              </w:rPr>
              <w:t xml:space="preserve">, </w:t>
            </w:r>
            <w:r w:rsidRPr="00934FE4">
              <w:rPr>
                <w:rFonts w:cs="Times New Roman" w:hint="eastAsia"/>
                <w:sz w:val="21"/>
                <w:szCs w:val="21"/>
              </w:rPr>
              <w:t>李宇晟</w:t>
            </w:r>
            <w:r w:rsidRPr="00934FE4">
              <w:rPr>
                <w:rFonts w:cs="Times New Roman" w:hint="eastAsia"/>
                <w:sz w:val="21"/>
                <w:szCs w:val="21"/>
              </w:rPr>
              <w:t>,</w:t>
            </w:r>
            <w:r>
              <w:rPr>
                <w:rFonts w:cs="Times New Roman" w:hint="eastAsia"/>
                <w:sz w:val="21"/>
                <w:szCs w:val="21"/>
              </w:rPr>
              <w:t xml:space="preserve"> </w:t>
            </w:r>
            <w:r w:rsidRPr="00934FE4">
              <w:rPr>
                <w:rFonts w:cs="Times New Roman" w:hint="eastAsia"/>
                <w:sz w:val="21"/>
                <w:szCs w:val="21"/>
              </w:rPr>
              <w:t>张传奇</w:t>
            </w:r>
            <w:r w:rsidRPr="00934FE4">
              <w:rPr>
                <w:rFonts w:cs="Times New Roman" w:hint="eastAsia"/>
                <w:sz w:val="21"/>
                <w:szCs w:val="21"/>
              </w:rPr>
              <w:t xml:space="preserve">, </w:t>
            </w:r>
            <w:r w:rsidRPr="00934FE4">
              <w:rPr>
                <w:rFonts w:cs="Times New Roman" w:hint="eastAsia"/>
                <w:sz w:val="21"/>
                <w:szCs w:val="21"/>
              </w:rPr>
              <w:t>崔超</w:t>
            </w:r>
            <w:r w:rsidRPr="00934FE4">
              <w:rPr>
                <w:rFonts w:cs="Times New Roman" w:hint="eastAsia"/>
                <w:sz w:val="21"/>
                <w:szCs w:val="21"/>
              </w:rPr>
              <w:t xml:space="preserve">, </w:t>
            </w:r>
            <w:r w:rsidRPr="00934FE4">
              <w:rPr>
                <w:rFonts w:cs="Times New Roman" w:hint="eastAsia"/>
                <w:sz w:val="21"/>
                <w:szCs w:val="21"/>
              </w:rPr>
              <w:t>黄青青</w:t>
            </w:r>
            <w:r w:rsidRPr="00934FE4">
              <w:rPr>
                <w:rFonts w:cs="Times New Roman" w:hint="eastAsia"/>
                <w:sz w:val="21"/>
                <w:szCs w:val="21"/>
              </w:rPr>
              <w:t>,</w:t>
            </w:r>
            <w:r>
              <w:rPr>
                <w:rFonts w:cs="Times New Roman" w:hint="eastAsia"/>
                <w:sz w:val="21"/>
                <w:szCs w:val="21"/>
              </w:rPr>
              <w:t xml:space="preserve"> </w:t>
            </w:r>
            <w:r w:rsidRPr="00934FE4">
              <w:rPr>
                <w:rFonts w:cs="Times New Roman" w:hint="eastAsia"/>
                <w:sz w:val="21"/>
                <w:szCs w:val="21"/>
              </w:rPr>
              <w:t>李梦凯</w:t>
            </w:r>
            <w:r w:rsidRPr="00934FE4">
              <w:rPr>
                <w:rFonts w:cs="Times New Roman" w:hint="eastAsia"/>
                <w:sz w:val="21"/>
                <w:szCs w:val="21"/>
              </w:rPr>
              <w:t xml:space="preserve">, </w:t>
            </w:r>
            <w:r w:rsidRPr="00934FE4">
              <w:rPr>
                <w:rFonts w:cs="Times New Roman" w:hint="eastAsia"/>
                <w:sz w:val="21"/>
                <w:szCs w:val="21"/>
              </w:rPr>
              <w:t>强志民</w:t>
            </w:r>
            <w:r w:rsidRPr="00934FE4">
              <w:rPr>
                <w:rFonts w:cs="Times New Roman" w:hint="eastAsia"/>
                <w:sz w:val="21"/>
                <w:szCs w:val="21"/>
              </w:rPr>
              <w:t xml:space="preserve">, </w:t>
            </w:r>
            <w:r w:rsidRPr="00934FE4">
              <w:rPr>
                <w:rFonts w:cs="Times New Roman" w:hint="eastAsia"/>
                <w:sz w:val="21"/>
                <w:szCs w:val="21"/>
              </w:rPr>
              <w:t>周涛</w:t>
            </w:r>
            <w:r w:rsidRPr="00934FE4">
              <w:rPr>
                <w:rFonts w:cs="Times New Roman" w:hint="eastAsia"/>
                <w:sz w:val="21"/>
                <w:szCs w:val="21"/>
              </w:rPr>
              <w:t>,</w:t>
            </w:r>
            <w:r>
              <w:rPr>
                <w:rFonts w:cs="Times New Roman" w:hint="eastAsia"/>
                <w:sz w:val="21"/>
                <w:szCs w:val="21"/>
              </w:rPr>
              <w:t xml:space="preserve"> </w:t>
            </w:r>
            <w:r w:rsidRPr="00934FE4">
              <w:rPr>
                <w:rFonts w:cs="Times New Roman" w:hint="eastAsia"/>
                <w:sz w:val="21"/>
                <w:szCs w:val="21"/>
              </w:rPr>
              <w:t>吴晓晖</w:t>
            </w:r>
            <w:r w:rsidRPr="00934FE4">
              <w:rPr>
                <w:rFonts w:cs="Times New Roman" w:hint="eastAsia"/>
                <w:sz w:val="21"/>
                <w:szCs w:val="21"/>
              </w:rPr>
              <w:t xml:space="preserve">, </w:t>
            </w:r>
            <w:r w:rsidRPr="00934FE4">
              <w:rPr>
                <w:rFonts w:cs="Times New Roman" w:hint="eastAsia"/>
                <w:sz w:val="21"/>
                <w:szCs w:val="21"/>
              </w:rPr>
              <w:t>俞汉青</w:t>
            </w:r>
          </w:p>
        </w:tc>
        <w:tc>
          <w:tcPr>
            <w:tcW w:w="255" w:type="pct"/>
            <w:tcBorders>
              <w:top w:val="single" w:sz="4" w:space="0" w:color="auto"/>
              <w:left w:val="single" w:sz="4" w:space="0" w:color="auto"/>
              <w:bottom w:val="single" w:sz="4" w:space="0" w:color="auto"/>
              <w:right w:val="single" w:sz="4" w:space="0" w:color="auto"/>
            </w:tcBorders>
            <w:vAlign w:val="center"/>
          </w:tcPr>
          <w:p w14:paraId="1F121BA0" w14:textId="7AC76DFD" w:rsidR="00934FE4" w:rsidRPr="00934FE4" w:rsidRDefault="003D2785" w:rsidP="00934FE4">
            <w:pPr>
              <w:snapToGrid w:val="0"/>
              <w:spacing w:line="240" w:lineRule="auto"/>
              <w:jc w:val="center"/>
              <w:rPr>
                <w:rFonts w:ascii="仿宋_GB2312"/>
                <w:sz w:val="21"/>
                <w:szCs w:val="21"/>
              </w:rPr>
            </w:pPr>
            <w:r>
              <w:rPr>
                <w:rFonts w:cs="Times New Roman" w:hint="eastAsia"/>
                <w:sz w:val="21"/>
                <w:szCs w:val="21"/>
              </w:rPr>
              <w:t>192</w:t>
            </w:r>
          </w:p>
        </w:tc>
        <w:tc>
          <w:tcPr>
            <w:tcW w:w="306" w:type="pct"/>
            <w:tcBorders>
              <w:top w:val="single" w:sz="4" w:space="0" w:color="auto"/>
              <w:left w:val="single" w:sz="4" w:space="0" w:color="auto"/>
              <w:bottom w:val="single" w:sz="4" w:space="0" w:color="auto"/>
              <w:right w:val="single" w:sz="4" w:space="0" w:color="auto"/>
            </w:tcBorders>
            <w:vAlign w:val="center"/>
          </w:tcPr>
          <w:p w14:paraId="14BA92A2" w14:textId="22E77E34" w:rsidR="00934FE4" w:rsidRPr="00934FE4" w:rsidRDefault="00934FE4" w:rsidP="00934FE4">
            <w:pPr>
              <w:snapToGrid w:val="0"/>
              <w:spacing w:line="240" w:lineRule="auto"/>
              <w:jc w:val="center"/>
              <w:rPr>
                <w:rFonts w:ascii="仿宋_GB2312"/>
                <w:sz w:val="21"/>
                <w:szCs w:val="21"/>
              </w:rPr>
            </w:pPr>
            <w:r w:rsidRPr="00934FE4">
              <w:rPr>
                <w:rFonts w:cs="Times New Roman" w:hint="eastAsia"/>
                <w:sz w:val="21"/>
                <w:szCs w:val="21"/>
              </w:rPr>
              <w:t>WOS</w:t>
            </w:r>
          </w:p>
        </w:tc>
        <w:tc>
          <w:tcPr>
            <w:tcW w:w="410" w:type="pct"/>
            <w:tcBorders>
              <w:top w:val="single" w:sz="4" w:space="0" w:color="auto"/>
              <w:left w:val="single" w:sz="4" w:space="0" w:color="auto"/>
              <w:bottom w:val="single" w:sz="4" w:space="0" w:color="auto"/>
            </w:tcBorders>
            <w:vAlign w:val="center"/>
          </w:tcPr>
          <w:p w14:paraId="54980B98" w14:textId="25E14B09" w:rsidR="00934FE4" w:rsidRPr="00934FE4" w:rsidRDefault="00934FE4" w:rsidP="00934FE4">
            <w:pPr>
              <w:snapToGrid w:val="0"/>
              <w:spacing w:line="240" w:lineRule="auto"/>
              <w:jc w:val="center"/>
              <w:rPr>
                <w:rFonts w:ascii="仿宋_GB2312"/>
                <w:sz w:val="21"/>
                <w:szCs w:val="21"/>
              </w:rPr>
            </w:pPr>
            <w:r w:rsidRPr="00934FE4">
              <w:rPr>
                <w:rFonts w:cs="Times New Roman" w:hint="eastAsia"/>
                <w:sz w:val="21"/>
                <w:szCs w:val="21"/>
              </w:rPr>
              <w:t>否</w:t>
            </w:r>
          </w:p>
        </w:tc>
        <w:tc>
          <w:tcPr>
            <w:tcW w:w="462" w:type="pct"/>
            <w:tcBorders>
              <w:top w:val="single" w:sz="4" w:space="0" w:color="auto"/>
              <w:left w:val="single" w:sz="4" w:space="0" w:color="auto"/>
              <w:bottom w:val="single" w:sz="4" w:space="0" w:color="auto"/>
            </w:tcBorders>
            <w:vAlign w:val="center"/>
          </w:tcPr>
          <w:p w14:paraId="6801AFA4" w14:textId="4F08704F" w:rsidR="00934FE4" w:rsidRPr="00934FE4" w:rsidRDefault="00934FE4" w:rsidP="00934FE4">
            <w:pPr>
              <w:snapToGrid w:val="0"/>
              <w:spacing w:line="240" w:lineRule="auto"/>
              <w:jc w:val="center"/>
              <w:rPr>
                <w:rFonts w:ascii="仿宋_GB2312"/>
                <w:sz w:val="21"/>
                <w:szCs w:val="21"/>
              </w:rPr>
            </w:pPr>
            <w:r w:rsidRPr="00934FE4">
              <w:rPr>
                <w:rFonts w:cs="Times New Roman" w:hint="eastAsia"/>
                <w:sz w:val="21"/>
                <w:szCs w:val="21"/>
              </w:rPr>
              <w:t>否</w:t>
            </w:r>
          </w:p>
        </w:tc>
      </w:tr>
      <w:tr w:rsidR="00934FE4" w14:paraId="483849FA" w14:textId="77777777" w:rsidTr="00934FE4">
        <w:trPr>
          <w:trHeight w:val="397"/>
          <w:jc w:val="center"/>
        </w:trPr>
        <w:tc>
          <w:tcPr>
            <w:tcW w:w="109" w:type="pct"/>
            <w:tcBorders>
              <w:top w:val="single" w:sz="4" w:space="0" w:color="auto"/>
              <w:left w:val="single" w:sz="4" w:space="0" w:color="auto"/>
              <w:right w:val="single" w:sz="4" w:space="0" w:color="auto"/>
            </w:tcBorders>
            <w:vAlign w:val="center"/>
          </w:tcPr>
          <w:p w14:paraId="01AD54EA" w14:textId="77777777" w:rsidR="00934FE4" w:rsidRPr="0039780A" w:rsidRDefault="00934FE4" w:rsidP="00934FE4">
            <w:pPr>
              <w:jc w:val="center"/>
              <w:rPr>
                <w:rFonts w:ascii="宋体" w:eastAsia="宋体" w:hAnsi="宋体" w:hint="eastAsia"/>
                <w:kern w:val="0"/>
                <w:sz w:val="21"/>
                <w:szCs w:val="21"/>
              </w:rPr>
            </w:pPr>
            <w:r w:rsidRPr="0039780A">
              <w:rPr>
                <w:rFonts w:ascii="宋体" w:eastAsia="宋体" w:hAnsi="宋体" w:hint="eastAsia"/>
                <w:kern w:val="0"/>
                <w:sz w:val="21"/>
                <w:szCs w:val="21"/>
              </w:rPr>
              <w:t>3</w:t>
            </w:r>
          </w:p>
        </w:tc>
        <w:tc>
          <w:tcPr>
            <w:tcW w:w="1244" w:type="pct"/>
            <w:tcBorders>
              <w:top w:val="single" w:sz="4" w:space="0" w:color="auto"/>
              <w:left w:val="single" w:sz="4" w:space="0" w:color="auto"/>
              <w:right w:val="single" w:sz="4" w:space="0" w:color="auto"/>
            </w:tcBorders>
            <w:vAlign w:val="center"/>
          </w:tcPr>
          <w:p w14:paraId="719F3E11" w14:textId="2FF0B6F4" w:rsidR="00934FE4" w:rsidRPr="007328CD" w:rsidRDefault="00934FE4" w:rsidP="00934FE4">
            <w:pPr>
              <w:snapToGrid w:val="0"/>
              <w:spacing w:line="240" w:lineRule="auto"/>
              <w:jc w:val="center"/>
              <w:rPr>
                <w:rFonts w:ascii="仿宋_GB2312"/>
                <w:sz w:val="21"/>
                <w:szCs w:val="21"/>
              </w:rPr>
            </w:pPr>
            <w:r w:rsidRPr="007328CD">
              <w:rPr>
                <w:rFonts w:cs="Times New Roman"/>
                <w:sz w:val="21"/>
                <w:szCs w:val="21"/>
              </w:rPr>
              <w:t>Single‐atom iron anchored tubular g‐C</w:t>
            </w:r>
            <w:r w:rsidRPr="007328CD">
              <w:rPr>
                <w:rFonts w:cs="Times New Roman"/>
                <w:sz w:val="21"/>
                <w:szCs w:val="21"/>
                <w:vertAlign w:val="subscript"/>
              </w:rPr>
              <w:t>3</w:t>
            </w:r>
            <w:r w:rsidRPr="007328CD">
              <w:rPr>
                <w:rFonts w:cs="Times New Roman"/>
                <w:sz w:val="21"/>
                <w:szCs w:val="21"/>
              </w:rPr>
              <w:t>N</w:t>
            </w:r>
            <w:r w:rsidRPr="007328CD">
              <w:rPr>
                <w:rFonts w:cs="Times New Roman"/>
                <w:sz w:val="21"/>
                <w:szCs w:val="21"/>
                <w:vertAlign w:val="subscript"/>
              </w:rPr>
              <w:t>4</w:t>
            </w:r>
            <w:r w:rsidRPr="007328CD">
              <w:rPr>
                <w:rFonts w:cs="Times New Roman"/>
                <w:sz w:val="21"/>
                <w:szCs w:val="21"/>
              </w:rPr>
              <w:t xml:space="preserve"> catalysts for ultrafast fenton‐like reaction: roles of high‐valency iron‐oxo species and organic radicals. Advanced Materials. </w:t>
            </w:r>
            <w:r w:rsidR="007328CD" w:rsidRPr="007328CD">
              <w:rPr>
                <w:rFonts w:cs="Times New Roman"/>
                <w:sz w:val="21"/>
                <w:szCs w:val="21"/>
              </w:rPr>
              <w:t>Fei Chen, Lian-Lian Liu, Jing-Hang Wu, Xian-Hong Rui, Jie-Jie Chen, Yan Yu</w:t>
            </w:r>
          </w:p>
        </w:tc>
        <w:tc>
          <w:tcPr>
            <w:tcW w:w="373" w:type="pct"/>
            <w:tcBorders>
              <w:top w:val="single" w:sz="4" w:space="0" w:color="auto"/>
              <w:left w:val="single" w:sz="4" w:space="0" w:color="auto"/>
              <w:right w:val="single" w:sz="4" w:space="0" w:color="auto"/>
            </w:tcBorders>
            <w:vAlign w:val="center"/>
          </w:tcPr>
          <w:p w14:paraId="051D00B4" w14:textId="77FEE37B" w:rsidR="00934FE4" w:rsidRPr="00934FE4" w:rsidRDefault="00934FE4" w:rsidP="00934FE4">
            <w:pPr>
              <w:snapToGrid w:val="0"/>
              <w:spacing w:line="240" w:lineRule="auto"/>
              <w:jc w:val="center"/>
              <w:rPr>
                <w:rFonts w:ascii="仿宋_GB2312"/>
                <w:sz w:val="21"/>
                <w:szCs w:val="21"/>
              </w:rPr>
            </w:pPr>
            <w:r w:rsidRPr="00934FE4">
              <w:rPr>
                <w:rFonts w:cs="Times New Roman"/>
                <w:sz w:val="21"/>
                <w:szCs w:val="21"/>
              </w:rPr>
              <w:t>2022, 34(31): 2202891</w:t>
            </w:r>
          </w:p>
        </w:tc>
        <w:tc>
          <w:tcPr>
            <w:tcW w:w="402" w:type="pct"/>
            <w:tcBorders>
              <w:top w:val="single" w:sz="4" w:space="0" w:color="auto"/>
              <w:left w:val="single" w:sz="4" w:space="0" w:color="auto"/>
              <w:right w:val="single" w:sz="4" w:space="0" w:color="auto"/>
            </w:tcBorders>
            <w:vAlign w:val="center"/>
          </w:tcPr>
          <w:p w14:paraId="44B09A6F" w14:textId="0869D149" w:rsidR="00934FE4" w:rsidRPr="00934FE4" w:rsidRDefault="00934FE4" w:rsidP="00934FE4">
            <w:pPr>
              <w:snapToGrid w:val="0"/>
              <w:spacing w:line="240" w:lineRule="auto"/>
              <w:jc w:val="center"/>
              <w:rPr>
                <w:rFonts w:ascii="仿宋_GB2312"/>
                <w:sz w:val="21"/>
                <w:szCs w:val="21"/>
              </w:rPr>
            </w:pPr>
            <w:r w:rsidRPr="00934FE4">
              <w:rPr>
                <w:rFonts w:cs="Times New Roman"/>
                <w:sz w:val="21"/>
                <w:szCs w:val="21"/>
              </w:rPr>
              <w:t>2022-06-09</w:t>
            </w:r>
          </w:p>
        </w:tc>
        <w:tc>
          <w:tcPr>
            <w:tcW w:w="409" w:type="pct"/>
            <w:tcBorders>
              <w:top w:val="single" w:sz="4" w:space="0" w:color="auto"/>
              <w:left w:val="single" w:sz="4" w:space="0" w:color="auto"/>
              <w:right w:val="single" w:sz="4" w:space="0" w:color="auto"/>
            </w:tcBorders>
            <w:vAlign w:val="center"/>
          </w:tcPr>
          <w:p w14:paraId="46217222" w14:textId="3B4CB9BD" w:rsidR="00934FE4" w:rsidRPr="00934FE4" w:rsidRDefault="007328CD" w:rsidP="00934FE4">
            <w:pPr>
              <w:snapToGrid w:val="0"/>
              <w:spacing w:line="240" w:lineRule="auto"/>
              <w:jc w:val="center"/>
              <w:rPr>
                <w:rFonts w:ascii="仿宋_GB2312"/>
                <w:sz w:val="21"/>
                <w:szCs w:val="21"/>
              </w:rPr>
            </w:pPr>
            <w:r w:rsidRPr="007328CD">
              <w:rPr>
                <w:rFonts w:cs="Times New Roman"/>
                <w:sz w:val="21"/>
                <w:szCs w:val="21"/>
              </w:rPr>
              <w:t>Jie-Jie Chen</w:t>
            </w:r>
            <w:r w:rsidR="00934FE4">
              <w:rPr>
                <w:rFonts w:cs="Times New Roman" w:hint="eastAsia"/>
                <w:sz w:val="21"/>
                <w:szCs w:val="21"/>
              </w:rPr>
              <w:t xml:space="preserve">, </w:t>
            </w:r>
            <w:r w:rsidRPr="007328CD">
              <w:rPr>
                <w:rFonts w:cs="Times New Roman"/>
                <w:sz w:val="21"/>
                <w:szCs w:val="21"/>
              </w:rPr>
              <w:t>Yan Yu</w:t>
            </w:r>
          </w:p>
        </w:tc>
        <w:tc>
          <w:tcPr>
            <w:tcW w:w="359" w:type="pct"/>
            <w:tcBorders>
              <w:top w:val="single" w:sz="4" w:space="0" w:color="auto"/>
              <w:left w:val="single" w:sz="4" w:space="0" w:color="auto"/>
              <w:right w:val="single" w:sz="4" w:space="0" w:color="auto"/>
            </w:tcBorders>
            <w:vAlign w:val="center"/>
          </w:tcPr>
          <w:p w14:paraId="0C246C14" w14:textId="38B3A4B9" w:rsidR="00934FE4" w:rsidRPr="00934FE4" w:rsidRDefault="007328CD" w:rsidP="00934FE4">
            <w:pPr>
              <w:snapToGrid w:val="0"/>
              <w:spacing w:line="240" w:lineRule="auto"/>
              <w:jc w:val="center"/>
              <w:rPr>
                <w:rFonts w:ascii="仿宋_GB2312"/>
                <w:sz w:val="21"/>
                <w:szCs w:val="21"/>
              </w:rPr>
            </w:pPr>
            <w:r w:rsidRPr="007328CD">
              <w:rPr>
                <w:rFonts w:cs="Times New Roman"/>
                <w:sz w:val="21"/>
                <w:szCs w:val="21"/>
              </w:rPr>
              <w:t>Fei Chen</w:t>
            </w:r>
          </w:p>
        </w:tc>
        <w:tc>
          <w:tcPr>
            <w:tcW w:w="671" w:type="pct"/>
            <w:tcBorders>
              <w:top w:val="single" w:sz="4" w:space="0" w:color="auto"/>
              <w:left w:val="single" w:sz="4" w:space="0" w:color="auto"/>
              <w:right w:val="single" w:sz="4" w:space="0" w:color="auto"/>
            </w:tcBorders>
            <w:vAlign w:val="center"/>
          </w:tcPr>
          <w:p w14:paraId="6C52FA0E" w14:textId="69871F1A" w:rsidR="00934FE4" w:rsidRPr="00934FE4" w:rsidRDefault="00934FE4" w:rsidP="00934FE4">
            <w:pPr>
              <w:snapToGrid w:val="0"/>
              <w:spacing w:line="240" w:lineRule="auto"/>
              <w:jc w:val="center"/>
              <w:rPr>
                <w:rFonts w:ascii="仿宋_GB2312"/>
                <w:sz w:val="21"/>
                <w:szCs w:val="21"/>
              </w:rPr>
            </w:pPr>
            <w:r w:rsidRPr="00934FE4">
              <w:rPr>
                <w:rFonts w:cs="Times New Roman" w:hint="eastAsia"/>
                <w:sz w:val="21"/>
                <w:szCs w:val="21"/>
              </w:rPr>
              <w:t>陈飞</w:t>
            </w:r>
            <w:r w:rsidRPr="00934FE4">
              <w:rPr>
                <w:rFonts w:cs="Times New Roman" w:hint="eastAsia"/>
                <w:sz w:val="21"/>
                <w:szCs w:val="21"/>
              </w:rPr>
              <w:t xml:space="preserve">, </w:t>
            </w:r>
            <w:r w:rsidRPr="00934FE4">
              <w:rPr>
                <w:rFonts w:cs="Times New Roman" w:hint="eastAsia"/>
                <w:sz w:val="21"/>
                <w:szCs w:val="21"/>
              </w:rPr>
              <w:t>刘练练</w:t>
            </w:r>
            <w:r w:rsidRPr="00934FE4">
              <w:rPr>
                <w:rFonts w:cs="Times New Roman" w:hint="eastAsia"/>
                <w:sz w:val="21"/>
                <w:szCs w:val="21"/>
              </w:rPr>
              <w:t>,</w:t>
            </w:r>
            <w:r>
              <w:rPr>
                <w:rFonts w:cs="Times New Roman" w:hint="eastAsia"/>
                <w:sz w:val="21"/>
                <w:szCs w:val="21"/>
              </w:rPr>
              <w:t xml:space="preserve"> </w:t>
            </w:r>
            <w:r w:rsidRPr="00934FE4">
              <w:rPr>
                <w:rFonts w:cs="Times New Roman" w:hint="eastAsia"/>
                <w:sz w:val="21"/>
                <w:szCs w:val="21"/>
              </w:rPr>
              <w:t>吴景行</w:t>
            </w:r>
            <w:r w:rsidRPr="00934FE4">
              <w:rPr>
                <w:rFonts w:cs="Times New Roman" w:hint="eastAsia"/>
                <w:sz w:val="21"/>
                <w:szCs w:val="21"/>
              </w:rPr>
              <w:t xml:space="preserve">, </w:t>
            </w:r>
            <w:r w:rsidRPr="00934FE4">
              <w:rPr>
                <w:rFonts w:cs="Times New Roman" w:hint="eastAsia"/>
                <w:sz w:val="21"/>
                <w:szCs w:val="21"/>
              </w:rPr>
              <w:t>芮先宏</w:t>
            </w:r>
            <w:r w:rsidRPr="00934FE4">
              <w:rPr>
                <w:rFonts w:cs="Times New Roman" w:hint="eastAsia"/>
                <w:sz w:val="21"/>
                <w:szCs w:val="21"/>
              </w:rPr>
              <w:t xml:space="preserve">, </w:t>
            </w:r>
            <w:r w:rsidRPr="00934FE4">
              <w:rPr>
                <w:rFonts w:cs="Times New Roman" w:hint="eastAsia"/>
                <w:sz w:val="21"/>
                <w:szCs w:val="21"/>
              </w:rPr>
              <w:t>陈洁洁</w:t>
            </w:r>
            <w:r w:rsidRPr="00934FE4">
              <w:rPr>
                <w:rFonts w:cs="Times New Roman" w:hint="eastAsia"/>
                <w:sz w:val="21"/>
                <w:szCs w:val="21"/>
              </w:rPr>
              <w:t>,</w:t>
            </w:r>
            <w:r>
              <w:rPr>
                <w:rFonts w:cs="Times New Roman" w:hint="eastAsia"/>
                <w:sz w:val="21"/>
                <w:szCs w:val="21"/>
              </w:rPr>
              <w:t xml:space="preserve"> </w:t>
            </w:r>
            <w:r>
              <w:rPr>
                <w:rFonts w:cs="Times New Roman" w:hint="eastAsia"/>
                <w:sz w:val="21"/>
                <w:szCs w:val="21"/>
              </w:rPr>
              <w:t>余彦</w:t>
            </w:r>
          </w:p>
        </w:tc>
        <w:tc>
          <w:tcPr>
            <w:tcW w:w="255" w:type="pct"/>
            <w:tcBorders>
              <w:top w:val="single" w:sz="4" w:space="0" w:color="auto"/>
              <w:left w:val="single" w:sz="4" w:space="0" w:color="auto"/>
              <w:right w:val="single" w:sz="4" w:space="0" w:color="auto"/>
            </w:tcBorders>
            <w:vAlign w:val="center"/>
          </w:tcPr>
          <w:p w14:paraId="464FCD2B" w14:textId="44AAE6E3" w:rsidR="00934FE4" w:rsidRPr="00934FE4" w:rsidRDefault="003D2785" w:rsidP="00934FE4">
            <w:pPr>
              <w:snapToGrid w:val="0"/>
              <w:spacing w:line="240" w:lineRule="auto"/>
              <w:jc w:val="center"/>
              <w:rPr>
                <w:rFonts w:ascii="仿宋_GB2312"/>
                <w:sz w:val="21"/>
                <w:szCs w:val="21"/>
              </w:rPr>
            </w:pPr>
            <w:r>
              <w:rPr>
                <w:rFonts w:cs="Times New Roman" w:hint="eastAsia"/>
                <w:sz w:val="21"/>
                <w:szCs w:val="21"/>
              </w:rPr>
              <w:t>350</w:t>
            </w:r>
          </w:p>
        </w:tc>
        <w:tc>
          <w:tcPr>
            <w:tcW w:w="306" w:type="pct"/>
            <w:tcBorders>
              <w:top w:val="single" w:sz="4" w:space="0" w:color="auto"/>
              <w:left w:val="single" w:sz="4" w:space="0" w:color="auto"/>
              <w:right w:val="single" w:sz="4" w:space="0" w:color="auto"/>
            </w:tcBorders>
            <w:vAlign w:val="center"/>
          </w:tcPr>
          <w:p w14:paraId="7E7EBB9D" w14:textId="09A89CE4" w:rsidR="00934FE4" w:rsidRPr="00934FE4" w:rsidRDefault="00934FE4" w:rsidP="00934FE4">
            <w:pPr>
              <w:snapToGrid w:val="0"/>
              <w:spacing w:line="240" w:lineRule="auto"/>
              <w:jc w:val="center"/>
              <w:rPr>
                <w:rFonts w:ascii="仿宋_GB2312"/>
                <w:sz w:val="21"/>
                <w:szCs w:val="21"/>
              </w:rPr>
            </w:pPr>
            <w:r w:rsidRPr="00934FE4">
              <w:rPr>
                <w:rFonts w:cs="Times New Roman" w:hint="eastAsia"/>
                <w:sz w:val="21"/>
                <w:szCs w:val="21"/>
              </w:rPr>
              <w:t>WOS</w:t>
            </w:r>
          </w:p>
        </w:tc>
        <w:tc>
          <w:tcPr>
            <w:tcW w:w="410" w:type="pct"/>
            <w:tcBorders>
              <w:top w:val="single" w:sz="4" w:space="0" w:color="auto"/>
              <w:left w:val="single" w:sz="4" w:space="0" w:color="auto"/>
            </w:tcBorders>
            <w:vAlign w:val="center"/>
          </w:tcPr>
          <w:p w14:paraId="5EF083CC" w14:textId="24978104" w:rsidR="00934FE4" w:rsidRPr="00934FE4" w:rsidRDefault="00934FE4" w:rsidP="00934FE4">
            <w:pPr>
              <w:snapToGrid w:val="0"/>
              <w:spacing w:line="240" w:lineRule="auto"/>
              <w:jc w:val="center"/>
              <w:rPr>
                <w:rFonts w:ascii="仿宋_GB2312"/>
                <w:sz w:val="21"/>
                <w:szCs w:val="21"/>
              </w:rPr>
            </w:pPr>
            <w:r w:rsidRPr="00934FE4">
              <w:rPr>
                <w:rFonts w:cs="Times New Roman" w:hint="eastAsia"/>
                <w:sz w:val="21"/>
                <w:szCs w:val="21"/>
              </w:rPr>
              <w:t>否</w:t>
            </w:r>
          </w:p>
        </w:tc>
        <w:tc>
          <w:tcPr>
            <w:tcW w:w="462" w:type="pct"/>
            <w:tcBorders>
              <w:top w:val="single" w:sz="4" w:space="0" w:color="auto"/>
              <w:left w:val="single" w:sz="4" w:space="0" w:color="auto"/>
            </w:tcBorders>
            <w:vAlign w:val="center"/>
          </w:tcPr>
          <w:p w14:paraId="4BFD1C6C" w14:textId="633D340B" w:rsidR="00934FE4" w:rsidRPr="00934FE4" w:rsidRDefault="00934FE4" w:rsidP="00934FE4">
            <w:pPr>
              <w:snapToGrid w:val="0"/>
              <w:spacing w:line="240" w:lineRule="auto"/>
              <w:jc w:val="center"/>
              <w:rPr>
                <w:rFonts w:ascii="仿宋_GB2312"/>
                <w:sz w:val="21"/>
                <w:szCs w:val="21"/>
              </w:rPr>
            </w:pPr>
            <w:r w:rsidRPr="00934FE4">
              <w:rPr>
                <w:rFonts w:cs="Times New Roman" w:hint="eastAsia"/>
                <w:sz w:val="21"/>
                <w:szCs w:val="21"/>
              </w:rPr>
              <w:t>否</w:t>
            </w:r>
          </w:p>
        </w:tc>
      </w:tr>
      <w:tr w:rsidR="00934FE4" w14:paraId="1672D792" w14:textId="77777777" w:rsidTr="00934FE4">
        <w:trPr>
          <w:trHeight w:val="397"/>
          <w:jc w:val="center"/>
        </w:trPr>
        <w:tc>
          <w:tcPr>
            <w:tcW w:w="109" w:type="pct"/>
            <w:tcBorders>
              <w:right w:val="single" w:sz="4" w:space="0" w:color="auto"/>
            </w:tcBorders>
            <w:vAlign w:val="center"/>
          </w:tcPr>
          <w:p w14:paraId="327AE77E" w14:textId="77777777" w:rsidR="00934FE4" w:rsidRPr="0039780A" w:rsidRDefault="00934FE4" w:rsidP="00934FE4">
            <w:pPr>
              <w:jc w:val="center"/>
              <w:rPr>
                <w:rFonts w:ascii="宋体" w:eastAsia="宋体" w:hAnsi="宋体" w:hint="eastAsia"/>
                <w:kern w:val="0"/>
                <w:sz w:val="21"/>
                <w:szCs w:val="21"/>
              </w:rPr>
            </w:pPr>
            <w:r w:rsidRPr="0039780A">
              <w:rPr>
                <w:rFonts w:ascii="宋体" w:eastAsia="宋体" w:hAnsi="宋体" w:hint="eastAsia"/>
                <w:kern w:val="0"/>
                <w:sz w:val="21"/>
                <w:szCs w:val="21"/>
              </w:rPr>
              <w:t>4</w:t>
            </w:r>
          </w:p>
        </w:tc>
        <w:tc>
          <w:tcPr>
            <w:tcW w:w="1244" w:type="pct"/>
            <w:tcBorders>
              <w:left w:val="single" w:sz="4" w:space="0" w:color="auto"/>
              <w:right w:val="single" w:sz="4" w:space="0" w:color="auto"/>
            </w:tcBorders>
            <w:vAlign w:val="center"/>
          </w:tcPr>
          <w:p w14:paraId="3CC73FED" w14:textId="481FF61B" w:rsidR="004D4BB5" w:rsidRPr="004D4BB5" w:rsidRDefault="004D4BB5" w:rsidP="004D4BB5">
            <w:pPr>
              <w:snapToGrid w:val="0"/>
              <w:spacing w:line="240" w:lineRule="auto"/>
              <w:jc w:val="center"/>
              <w:rPr>
                <w:rFonts w:cs="Times New Roman"/>
                <w:sz w:val="21"/>
                <w:szCs w:val="21"/>
              </w:rPr>
            </w:pPr>
            <w:r w:rsidRPr="004D4BB5">
              <w:rPr>
                <w:rFonts w:cs="Times New Roman"/>
                <w:sz w:val="21"/>
                <w:szCs w:val="21"/>
              </w:rPr>
              <w:t>New insight in the O</w:t>
            </w:r>
            <w:r w:rsidRPr="004D4BB5">
              <w:rPr>
                <w:rFonts w:cs="Times New Roman"/>
                <w:sz w:val="21"/>
                <w:szCs w:val="21"/>
                <w:vertAlign w:val="subscript"/>
              </w:rPr>
              <w:t>2</w:t>
            </w:r>
            <w:r w:rsidRPr="004D4BB5">
              <w:rPr>
                <w:rFonts w:cs="Times New Roman"/>
                <w:sz w:val="21"/>
                <w:szCs w:val="21"/>
              </w:rPr>
              <w:t xml:space="preserve"> activation by nano Fe/Cu bimetals: The synergistic role of Cu(0) and Fe(II)</w:t>
            </w:r>
            <w:r w:rsidR="00934FE4" w:rsidRPr="007328CD">
              <w:rPr>
                <w:rFonts w:cs="Times New Roman" w:hint="eastAsia"/>
                <w:sz w:val="21"/>
                <w:szCs w:val="21"/>
              </w:rPr>
              <w:t xml:space="preserve">. </w:t>
            </w:r>
            <w:r w:rsidRPr="004D4BB5">
              <w:rPr>
                <w:rFonts w:cs="Times New Roman"/>
                <w:sz w:val="21"/>
                <w:szCs w:val="21"/>
              </w:rPr>
              <w:t xml:space="preserve">Wei Xiang1, </w:t>
            </w:r>
          </w:p>
          <w:p w14:paraId="300FA74A" w14:textId="45E4C3B1" w:rsidR="00934FE4" w:rsidRPr="007328CD" w:rsidRDefault="004D4BB5" w:rsidP="004D4BB5">
            <w:pPr>
              <w:snapToGrid w:val="0"/>
              <w:spacing w:line="240" w:lineRule="auto"/>
              <w:jc w:val="center"/>
              <w:rPr>
                <w:rFonts w:ascii="仿宋_GB2312"/>
                <w:sz w:val="21"/>
                <w:szCs w:val="21"/>
              </w:rPr>
            </w:pPr>
            <w:r w:rsidRPr="004D4BB5">
              <w:rPr>
                <w:rFonts w:cs="Times New Roman"/>
                <w:sz w:val="21"/>
                <w:szCs w:val="21"/>
              </w:rPr>
              <w:t>Mingjie Huang1, Yifan Wang, Xiaohui Wu</w:t>
            </w:r>
            <w:r>
              <w:rPr>
                <w:rFonts w:cs="Times New Roman" w:hint="eastAsia"/>
                <w:sz w:val="21"/>
                <w:szCs w:val="21"/>
              </w:rPr>
              <w:t xml:space="preserve">, </w:t>
            </w:r>
            <w:r w:rsidRPr="004D4BB5">
              <w:rPr>
                <w:rFonts w:cs="Times New Roman"/>
                <w:sz w:val="21"/>
                <w:szCs w:val="21"/>
              </w:rPr>
              <w:t>Fugang Zhang, Dan Li, Tao Zhou</w:t>
            </w:r>
            <w:r>
              <w:rPr>
                <w:rFonts w:cs="Times New Roman" w:hint="eastAsia"/>
                <w:sz w:val="21"/>
                <w:szCs w:val="21"/>
              </w:rPr>
              <w:t>*</w:t>
            </w:r>
          </w:p>
        </w:tc>
        <w:tc>
          <w:tcPr>
            <w:tcW w:w="373" w:type="pct"/>
            <w:tcBorders>
              <w:left w:val="single" w:sz="4" w:space="0" w:color="auto"/>
              <w:right w:val="single" w:sz="4" w:space="0" w:color="auto"/>
            </w:tcBorders>
            <w:vAlign w:val="center"/>
          </w:tcPr>
          <w:p w14:paraId="6391858B" w14:textId="0EBF4302" w:rsidR="00934FE4" w:rsidRPr="00934FE4" w:rsidRDefault="00934FE4" w:rsidP="00934FE4">
            <w:pPr>
              <w:snapToGrid w:val="0"/>
              <w:spacing w:line="240" w:lineRule="auto"/>
              <w:jc w:val="center"/>
              <w:rPr>
                <w:rFonts w:ascii="仿宋_GB2312"/>
                <w:sz w:val="21"/>
                <w:szCs w:val="21"/>
              </w:rPr>
            </w:pPr>
            <w:r w:rsidRPr="00934FE4">
              <w:rPr>
                <w:rFonts w:cs="Times New Roman"/>
                <w:sz w:val="21"/>
                <w:szCs w:val="21"/>
              </w:rPr>
              <w:t xml:space="preserve">2020, 31(10): </w:t>
            </w:r>
            <w:r w:rsidR="004D4BB5" w:rsidRPr="004D4BB5">
              <w:rPr>
                <w:rFonts w:cs="Times New Roman"/>
                <w:sz w:val="21"/>
                <w:szCs w:val="21"/>
              </w:rPr>
              <w:t>2831-2834</w:t>
            </w:r>
          </w:p>
        </w:tc>
        <w:tc>
          <w:tcPr>
            <w:tcW w:w="402" w:type="pct"/>
            <w:tcBorders>
              <w:left w:val="single" w:sz="4" w:space="0" w:color="auto"/>
              <w:right w:val="single" w:sz="4" w:space="0" w:color="auto"/>
            </w:tcBorders>
            <w:vAlign w:val="center"/>
          </w:tcPr>
          <w:p w14:paraId="60BD0028" w14:textId="21A87AAA" w:rsidR="00934FE4" w:rsidRPr="00934FE4" w:rsidRDefault="00934FE4" w:rsidP="00934FE4">
            <w:pPr>
              <w:snapToGrid w:val="0"/>
              <w:spacing w:line="240" w:lineRule="auto"/>
              <w:jc w:val="center"/>
              <w:rPr>
                <w:rFonts w:ascii="仿宋_GB2312"/>
                <w:sz w:val="21"/>
                <w:szCs w:val="21"/>
              </w:rPr>
            </w:pPr>
            <w:r w:rsidRPr="00934FE4">
              <w:rPr>
                <w:rFonts w:cs="Times New Roman"/>
                <w:sz w:val="21"/>
                <w:szCs w:val="21"/>
              </w:rPr>
              <w:t>2020-</w:t>
            </w:r>
            <w:r w:rsidR="004D4BB5">
              <w:rPr>
                <w:rFonts w:cs="Times New Roman" w:hint="eastAsia"/>
                <w:sz w:val="21"/>
                <w:szCs w:val="21"/>
              </w:rPr>
              <w:t>08</w:t>
            </w:r>
            <w:r w:rsidRPr="00934FE4">
              <w:rPr>
                <w:rFonts w:cs="Times New Roman"/>
                <w:sz w:val="21"/>
                <w:szCs w:val="21"/>
              </w:rPr>
              <w:t>-</w:t>
            </w:r>
            <w:r w:rsidR="004D4BB5">
              <w:rPr>
                <w:rFonts w:cs="Times New Roman" w:hint="eastAsia"/>
                <w:sz w:val="21"/>
                <w:szCs w:val="21"/>
              </w:rPr>
              <w:t>05</w:t>
            </w:r>
          </w:p>
        </w:tc>
        <w:tc>
          <w:tcPr>
            <w:tcW w:w="409" w:type="pct"/>
            <w:tcBorders>
              <w:left w:val="single" w:sz="4" w:space="0" w:color="auto"/>
              <w:right w:val="single" w:sz="4" w:space="0" w:color="auto"/>
            </w:tcBorders>
            <w:vAlign w:val="center"/>
          </w:tcPr>
          <w:p w14:paraId="4DBBF67E" w14:textId="36F8E8DC" w:rsidR="00934FE4" w:rsidRPr="00934FE4" w:rsidRDefault="007328CD" w:rsidP="00934FE4">
            <w:pPr>
              <w:snapToGrid w:val="0"/>
              <w:spacing w:line="240" w:lineRule="auto"/>
              <w:jc w:val="center"/>
              <w:rPr>
                <w:rFonts w:ascii="仿宋_GB2312"/>
                <w:sz w:val="21"/>
                <w:szCs w:val="21"/>
              </w:rPr>
            </w:pPr>
            <w:r w:rsidRPr="007328CD">
              <w:rPr>
                <w:rFonts w:cs="Times New Roman"/>
                <w:bCs/>
                <w:sz w:val="21"/>
                <w:szCs w:val="21"/>
              </w:rPr>
              <w:t>Tao Zhou</w:t>
            </w:r>
          </w:p>
        </w:tc>
        <w:tc>
          <w:tcPr>
            <w:tcW w:w="359" w:type="pct"/>
            <w:tcBorders>
              <w:left w:val="single" w:sz="4" w:space="0" w:color="auto"/>
              <w:right w:val="single" w:sz="4" w:space="0" w:color="auto"/>
            </w:tcBorders>
            <w:vAlign w:val="center"/>
          </w:tcPr>
          <w:p w14:paraId="3EEC1232" w14:textId="4129EEA4" w:rsidR="00934FE4" w:rsidRPr="00934FE4" w:rsidRDefault="004D4BB5" w:rsidP="00934FE4">
            <w:pPr>
              <w:snapToGrid w:val="0"/>
              <w:spacing w:line="240" w:lineRule="auto"/>
              <w:jc w:val="center"/>
              <w:rPr>
                <w:rFonts w:ascii="仿宋_GB2312"/>
                <w:sz w:val="21"/>
                <w:szCs w:val="21"/>
              </w:rPr>
            </w:pPr>
            <w:r>
              <w:rPr>
                <w:rFonts w:cs="Times New Roman" w:hint="eastAsia"/>
                <w:bCs/>
                <w:sz w:val="21"/>
                <w:szCs w:val="21"/>
              </w:rPr>
              <w:t xml:space="preserve">Wei Xiang, </w:t>
            </w:r>
            <w:r w:rsidR="007328CD" w:rsidRPr="007328CD">
              <w:rPr>
                <w:rFonts w:cs="Times New Roman"/>
                <w:bCs/>
                <w:sz w:val="21"/>
                <w:szCs w:val="21"/>
              </w:rPr>
              <w:t>Mingjie Huang</w:t>
            </w:r>
          </w:p>
        </w:tc>
        <w:tc>
          <w:tcPr>
            <w:tcW w:w="671" w:type="pct"/>
            <w:tcBorders>
              <w:left w:val="single" w:sz="4" w:space="0" w:color="auto"/>
              <w:right w:val="single" w:sz="4" w:space="0" w:color="auto"/>
            </w:tcBorders>
            <w:vAlign w:val="center"/>
          </w:tcPr>
          <w:p w14:paraId="0182DA84" w14:textId="46E36433" w:rsidR="00934FE4" w:rsidRPr="00934FE4" w:rsidRDefault="004D4BB5" w:rsidP="003D2785">
            <w:pPr>
              <w:snapToGrid w:val="0"/>
              <w:spacing w:line="240" w:lineRule="auto"/>
              <w:jc w:val="center"/>
              <w:rPr>
                <w:rFonts w:ascii="仿宋_GB2312"/>
                <w:sz w:val="21"/>
                <w:szCs w:val="21"/>
              </w:rPr>
            </w:pPr>
            <w:r>
              <w:rPr>
                <w:rFonts w:hint="eastAsia"/>
                <w:sz w:val="21"/>
                <w:szCs w:val="21"/>
              </w:rPr>
              <w:t>向威</w:t>
            </w:r>
            <w:r>
              <w:rPr>
                <w:rFonts w:hint="eastAsia"/>
                <w:sz w:val="21"/>
                <w:szCs w:val="21"/>
              </w:rPr>
              <w:t xml:space="preserve">, </w:t>
            </w:r>
            <w:r>
              <w:rPr>
                <w:rFonts w:hint="eastAsia"/>
                <w:sz w:val="21"/>
                <w:szCs w:val="21"/>
              </w:rPr>
              <w:t>黄明杰</w:t>
            </w:r>
            <w:r>
              <w:rPr>
                <w:rFonts w:hint="eastAsia"/>
                <w:sz w:val="21"/>
                <w:szCs w:val="21"/>
              </w:rPr>
              <w:t xml:space="preserve">, </w:t>
            </w:r>
            <w:r>
              <w:rPr>
                <w:rFonts w:hint="eastAsia"/>
                <w:sz w:val="21"/>
                <w:szCs w:val="21"/>
              </w:rPr>
              <w:t>王怡帆</w:t>
            </w:r>
            <w:r>
              <w:rPr>
                <w:rFonts w:hint="eastAsia"/>
                <w:sz w:val="21"/>
                <w:szCs w:val="21"/>
              </w:rPr>
              <w:t xml:space="preserve">, </w:t>
            </w:r>
            <w:r>
              <w:rPr>
                <w:rFonts w:hint="eastAsia"/>
                <w:sz w:val="21"/>
                <w:szCs w:val="21"/>
              </w:rPr>
              <w:t>吴晓晖</w:t>
            </w:r>
            <w:r>
              <w:rPr>
                <w:rFonts w:hint="eastAsia"/>
                <w:sz w:val="21"/>
                <w:szCs w:val="21"/>
              </w:rPr>
              <w:t xml:space="preserve">, </w:t>
            </w:r>
            <w:r>
              <w:rPr>
                <w:rFonts w:hint="eastAsia"/>
                <w:sz w:val="21"/>
                <w:szCs w:val="21"/>
              </w:rPr>
              <w:t>张富光</w:t>
            </w:r>
            <w:r>
              <w:rPr>
                <w:rFonts w:hint="eastAsia"/>
                <w:sz w:val="21"/>
                <w:szCs w:val="21"/>
              </w:rPr>
              <w:t xml:space="preserve">, </w:t>
            </w:r>
            <w:r>
              <w:rPr>
                <w:rFonts w:hint="eastAsia"/>
                <w:sz w:val="21"/>
                <w:szCs w:val="21"/>
              </w:rPr>
              <w:t>李丹</w:t>
            </w:r>
            <w:r>
              <w:rPr>
                <w:rFonts w:hint="eastAsia"/>
                <w:sz w:val="21"/>
                <w:szCs w:val="21"/>
              </w:rPr>
              <w:t xml:space="preserve">, </w:t>
            </w:r>
            <w:r>
              <w:rPr>
                <w:rFonts w:hint="eastAsia"/>
                <w:sz w:val="21"/>
                <w:szCs w:val="21"/>
              </w:rPr>
              <w:t>周涛</w:t>
            </w:r>
          </w:p>
        </w:tc>
        <w:tc>
          <w:tcPr>
            <w:tcW w:w="255" w:type="pct"/>
            <w:tcBorders>
              <w:left w:val="single" w:sz="4" w:space="0" w:color="auto"/>
              <w:right w:val="single" w:sz="4" w:space="0" w:color="auto"/>
            </w:tcBorders>
            <w:vAlign w:val="center"/>
          </w:tcPr>
          <w:p w14:paraId="14059EF9" w14:textId="0F266468" w:rsidR="00934FE4" w:rsidRPr="00934FE4" w:rsidRDefault="004D4BB5" w:rsidP="00934FE4">
            <w:pPr>
              <w:snapToGrid w:val="0"/>
              <w:spacing w:line="240" w:lineRule="auto"/>
              <w:jc w:val="center"/>
              <w:rPr>
                <w:rFonts w:ascii="仿宋_GB2312"/>
                <w:sz w:val="21"/>
                <w:szCs w:val="21"/>
              </w:rPr>
            </w:pPr>
            <w:r>
              <w:rPr>
                <w:rFonts w:cs="Times New Roman" w:hint="eastAsia"/>
                <w:sz w:val="21"/>
                <w:szCs w:val="21"/>
              </w:rPr>
              <w:t>42</w:t>
            </w:r>
          </w:p>
        </w:tc>
        <w:tc>
          <w:tcPr>
            <w:tcW w:w="306" w:type="pct"/>
            <w:tcBorders>
              <w:left w:val="single" w:sz="4" w:space="0" w:color="auto"/>
              <w:right w:val="single" w:sz="4" w:space="0" w:color="auto"/>
            </w:tcBorders>
            <w:vAlign w:val="center"/>
          </w:tcPr>
          <w:p w14:paraId="36B05F98" w14:textId="62EA34F9" w:rsidR="00934FE4" w:rsidRPr="00934FE4" w:rsidRDefault="00934FE4" w:rsidP="00934FE4">
            <w:pPr>
              <w:snapToGrid w:val="0"/>
              <w:spacing w:line="240" w:lineRule="auto"/>
              <w:jc w:val="center"/>
              <w:rPr>
                <w:rFonts w:ascii="仿宋_GB2312"/>
                <w:sz w:val="21"/>
                <w:szCs w:val="21"/>
              </w:rPr>
            </w:pPr>
            <w:r w:rsidRPr="00934FE4">
              <w:rPr>
                <w:rFonts w:cs="Times New Roman" w:hint="eastAsia"/>
                <w:sz w:val="21"/>
                <w:szCs w:val="21"/>
              </w:rPr>
              <w:t>WOS</w:t>
            </w:r>
          </w:p>
        </w:tc>
        <w:tc>
          <w:tcPr>
            <w:tcW w:w="410" w:type="pct"/>
            <w:tcBorders>
              <w:left w:val="single" w:sz="4" w:space="0" w:color="auto"/>
            </w:tcBorders>
            <w:vAlign w:val="center"/>
          </w:tcPr>
          <w:p w14:paraId="275024D9" w14:textId="4DFF1770" w:rsidR="00934FE4" w:rsidRPr="00934FE4" w:rsidRDefault="00934FE4" w:rsidP="00934FE4">
            <w:pPr>
              <w:snapToGrid w:val="0"/>
              <w:spacing w:line="240" w:lineRule="auto"/>
              <w:jc w:val="center"/>
              <w:rPr>
                <w:rFonts w:ascii="仿宋_GB2312"/>
                <w:sz w:val="21"/>
                <w:szCs w:val="21"/>
              </w:rPr>
            </w:pPr>
            <w:r w:rsidRPr="00934FE4">
              <w:rPr>
                <w:rFonts w:cs="Times New Roman" w:hint="eastAsia"/>
                <w:sz w:val="21"/>
                <w:szCs w:val="21"/>
              </w:rPr>
              <w:t>否</w:t>
            </w:r>
          </w:p>
        </w:tc>
        <w:tc>
          <w:tcPr>
            <w:tcW w:w="462" w:type="pct"/>
            <w:tcBorders>
              <w:left w:val="single" w:sz="4" w:space="0" w:color="auto"/>
            </w:tcBorders>
            <w:vAlign w:val="center"/>
          </w:tcPr>
          <w:p w14:paraId="48A253BA" w14:textId="4E32FB81" w:rsidR="00934FE4" w:rsidRPr="00934FE4" w:rsidRDefault="00934FE4" w:rsidP="00934FE4">
            <w:pPr>
              <w:snapToGrid w:val="0"/>
              <w:spacing w:line="240" w:lineRule="auto"/>
              <w:jc w:val="center"/>
              <w:rPr>
                <w:rFonts w:ascii="仿宋_GB2312"/>
                <w:sz w:val="21"/>
                <w:szCs w:val="21"/>
              </w:rPr>
            </w:pPr>
            <w:r w:rsidRPr="00934FE4">
              <w:rPr>
                <w:rFonts w:cs="Times New Roman"/>
                <w:sz w:val="21"/>
                <w:szCs w:val="21"/>
              </w:rPr>
              <w:t>11-2710/O6</w:t>
            </w:r>
          </w:p>
        </w:tc>
      </w:tr>
      <w:tr w:rsidR="00934FE4" w14:paraId="2B204774" w14:textId="77777777" w:rsidTr="00934FE4">
        <w:trPr>
          <w:trHeight w:val="397"/>
          <w:jc w:val="center"/>
        </w:trPr>
        <w:tc>
          <w:tcPr>
            <w:tcW w:w="109" w:type="pct"/>
            <w:tcBorders>
              <w:top w:val="single" w:sz="4" w:space="0" w:color="auto"/>
              <w:bottom w:val="single" w:sz="4" w:space="0" w:color="auto"/>
              <w:right w:val="single" w:sz="4" w:space="0" w:color="auto"/>
            </w:tcBorders>
            <w:vAlign w:val="center"/>
          </w:tcPr>
          <w:p w14:paraId="4EC4BD14" w14:textId="77777777" w:rsidR="00934FE4" w:rsidRPr="0039780A" w:rsidRDefault="00934FE4" w:rsidP="00934FE4">
            <w:pPr>
              <w:jc w:val="center"/>
              <w:rPr>
                <w:rFonts w:ascii="宋体" w:eastAsia="宋体" w:hAnsi="宋体" w:hint="eastAsia"/>
                <w:kern w:val="0"/>
                <w:sz w:val="21"/>
                <w:szCs w:val="21"/>
              </w:rPr>
            </w:pPr>
            <w:r w:rsidRPr="0039780A">
              <w:rPr>
                <w:rFonts w:ascii="宋体" w:eastAsia="宋体" w:hAnsi="宋体" w:hint="eastAsia"/>
                <w:kern w:val="0"/>
                <w:sz w:val="21"/>
                <w:szCs w:val="21"/>
              </w:rPr>
              <w:t>5</w:t>
            </w:r>
          </w:p>
        </w:tc>
        <w:tc>
          <w:tcPr>
            <w:tcW w:w="1244" w:type="pct"/>
            <w:tcBorders>
              <w:top w:val="single" w:sz="4" w:space="0" w:color="auto"/>
              <w:left w:val="single" w:sz="4" w:space="0" w:color="auto"/>
              <w:bottom w:val="single" w:sz="4" w:space="0" w:color="auto"/>
              <w:right w:val="single" w:sz="4" w:space="0" w:color="auto"/>
            </w:tcBorders>
            <w:vAlign w:val="center"/>
          </w:tcPr>
          <w:p w14:paraId="6C967537" w14:textId="286B5FAA" w:rsidR="00934FE4" w:rsidRPr="007328CD" w:rsidRDefault="00934FE4" w:rsidP="00934FE4">
            <w:pPr>
              <w:snapToGrid w:val="0"/>
              <w:spacing w:line="240" w:lineRule="auto"/>
              <w:jc w:val="center"/>
              <w:rPr>
                <w:rFonts w:ascii="仿宋_GB2312"/>
                <w:sz w:val="21"/>
                <w:szCs w:val="21"/>
              </w:rPr>
            </w:pPr>
            <w:r w:rsidRPr="007328CD">
              <w:rPr>
                <w:rFonts w:cs="Times New Roman"/>
                <w:sz w:val="21"/>
                <w:szCs w:val="21"/>
              </w:rPr>
              <w:t>Efficient decomposition of sulfamethoxazole in a novel neutral Fered-Fenton like/oxalate system based on effective heterogeneous-homogeneous iron cycle. Chinese Chemical Letters</w:t>
            </w:r>
            <w:r w:rsidRPr="007328CD">
              <w:rPr>
                <w:rFonts w:cs="Times New Roman" w:hint="eastAsia"/>
                <w:sz w:val="21"/>
                <w:szCs w:val="21"/>
              </w:rPr>
              <w:t xml:space="preserve">. </w:t>
            </w:r>
            <w:r w:rsidR="007328CD" w:rsidRPr="007328CD">
              <w:rPr>
                <w:rFonts w:cs="Times New Roman"/>
                <w:sz w:val="21"/>
                <w:szCs w:val="21"/>
              </w:rPr>
              <w:t>Chen Wang, Yubei Liu, Tao Zhou, Mingjie Huang, Juan Mao, Xiaohui Wu</w:t>
            </w:r>
          </w:p>
        </w:tc>
        <w:tc>
          <w:tcPr>
            <w:tcW w:w="373" w:type="pct"/>
            <w:tcBorders>
              <w:top w:val="single" w:sz="4" w:space="0" w:color="auto"/>
              <w:left w:val="single" w:sz="4" w:space="0" w:color="auto"/>
              <w:bottom w:val="single" w:sz="4" w:space="0" w:color="auto"/>
              <w:right w:val="single" w:sz="4" w:space="0" w:color="auto"/>
            </w:tcBorders>
            <w:vAlign w:val="center"/>
          </w:tcPr>
          <w:p w14:paraId="631BADB9" w14:textId="0A561BD3" w:rsidR="00934FE4" w:rsidRPr="00934FE4" w:rsidRDefault="00934FE4" w:rsidP="00934FE4">
            <w:pPr>
              <w:snapToGrid w:val="0"/>
              <w:spacing w:line="240" w:lineRule="auto"/>
              <w:jc w:val="center"/>
              <w:rPr>
                <w:rFonts w:ascii="仿宋_GB2312"/>
                <w:sz w:val="21"/>
                <w:szCs w:val="21"/>
              </w:rPr>
            </w:pPr>
            <w:r w:rsidRPr="00934FE4">
              <w:rPr>
                <w:rFonts w:cs="Times New Roman"/>
                <w:sz w:val="21"/>
                <w:szCs w:val="21"/>
              </w:rPr>
              <w:t>2019, 30(22): 2231-2235</w:t>
            </w:r>
          </w:p>
        </w:tc>
        <w:tc>
          <w:tcPr>
            <w:tcW w:w="402" w:type="pct"/>
            <w:tcBorders>
              <w:top w:val="single" w:sz="4" w:space="0" w:color="auto"/>
              <w:left w:val="single" w:sz="4" w:space="0" w:color="auto"/>
              <w:bottom w:val="single" w:sz="4" w:space="0" w:color="auto"/>
              <w:right w:val="single" w:sz="4" w:space="0" w:color="auto"/>
            </w:tcBorders>
            <w:vAlign w:val="center"/>
          </w:tcPr>
          <w:p w14:paraId="37E47E08" w14:textId="247631C4" w:rsidR="00934FE4" w:rsidRPr="00934FE4" w:rsidRDefault="00934FE4" w:rsidP="00934FE4">
            <w:pPr>
              <w:snapToGrid w:val="0"/>
              <w:spacing w:line="240" w:lineRule="auto"/>
              <w:jc w:val="center"/>
              <w:rPr>
                <w:rFonts w:ascii="仿宋_GB2312"/>
                <w:sz w:val="21"/>
                <w:szCs w:val="21"/>
              </w:rPr>
            </w:pPr>
            <w:r w:rsidRPr="00934FE4">
              <w:rPr>
                <w:rFonts w:cs="Times New Roman"/>
                <w:sz w:val="21"/>
                <w:szCs w:val="21"/>
              </w:rPr>
              <w:t>2021-08-31</w:t>
            </w:r>
          </w:p>
        </w:tc>
        <w:tc>
          <w:tcPr>
            <w:tcW w:w="409" w:type="pct"/>
            <w:tcBorders>
              <w:top w:val="single" w:sz="4" w:space="0" w:color="auto"/>
              <w:left w:val="single" w:sz="4" w:space="0" w:color="auto"/>
              <w:bottom w:val="single" w:sz="4" w:space="0" w:color="auto"/>
              <w:right w:val="single" w:sz="4" w:space="0" w:color="auto"/>
            </w:tcBorders>
            <w:vAlign w:val="center"/>
          </w:tcPr>
          <w:p w14:paraId="53C3BAFE" w14:textId="655FE3F3" w:rsidR="00934FE4" w:rsidRPr="00934FE4" w:rsidRDefault="00934FE4" w:rsidP="00934FE4">
            <w:pPr>
              <w:snapToGrid w:val="0"/>
              <w:spacing w:line="240" w:lineRule="auto"/>
              <w:jc w:val="center"/>
              <w:rPr>
                <w:rFonts w:ascii="仿宋_GB2312"/>
                <w:sz w:val="21"/>
                <w:szCs w:val="21"/>
              </w:rPr>
            </w:pPr>
            <w:r w:rsidRPr="00934FE4">
              <w:rPr>
                <w:rFonts w:cs="Times New Roman"/>
                <w:sz w:val="21"/>
                <w:szCs w:val="21"/>
              </w:rPr>
              <w:t>Tao Zhou, Xiaohui Wu</w:t>
            </w:r>
          </w:p>
        </w:tc>
        <w:tc>
          <w:tcPr>
            <w:tcW w:w="359" w:type="pct"/>
            <w:tcBorders>
              <w:top w:val="single" w:sz="4" w:space="0" w:color="auto"/>
              <w:left w:val="single" w:sz="4" w:space="0" w:color="auto"/>
              <w:bottom w:val="single" w:sz="4" w:space="0" w:color="auto"/>
              <w:right w:val="single" w:sz="4" w:space="0" w:color="auto"/>
            </w:tcBorders>
            <w:vAlign w:val="center"/>
          </w:tcPr>
          <w:p w14:paraId="16E9840F" w14:textId="2AB8C083" w:rsidR="00934FE4" w:rsidRPr="00934FE4" w:rsidRDefault="00934FE4" w:rsidP="00934FE4">
            <w:pPr>
              <w:snapToGrid w:val="0"/>
              <w:spacing w:line="240" w:lineRule="auto"/>
              <w:jc w:val="center"/>
              <w:rPr>
                <w:rFonts w:ascii="仿宋_GB2312"/>
                <w:sz w:val="21"/>
                <w:szCs w:val="21"/>
              </w:rPr>
            </w:pPr>
            <w:r w:rsidRPr="00934FE4">
              <w:rPr>
                <w:rFonts w:cs="Times New Roman"/>
                <w:sz w:val="21"/>
                <w:szCs w:val="21"/>
              </w:rPr>
              <w:t>Chen Wang, Yubei Liu</w:t>
            </w:r>
          </w:p>
        </w:tc>
        <w:tc>
          <w:tcPr>
            <w:tcW w:w="671" w:type="pct"/>
            <w:tcBorders>
              <w:top w:val="single" w:sz="4" w:space="0" w:color="auto"/>
              <w:left w:val="single" w:sz="4" w:space="0" w:color="auto"/>
              <w:bottom w:val="single" w:sz="4" w:space="0" w:color="auto"/>
              <w:right w:val="single" w:sz="4" w:space="0" w:color="auto"/>
            </w:tcBorders>
            <w:vAlign w:val="center"/>
          </w:tcPr>
          <w:p w14:paraId="177BE880" w14:textId="58A3E002" w:rsidR="00934FE4" w:rsidRPr="00934FE4" w:rsidRDefault="004D4BB5" w:rsidP="00934FE4">
            <w:pPr>
              <w:snapToGrid w:val="0"/>
              <w:spacing w:line="240" w:lineRule="auto"/>
              <w:jc w:val="center"/>
              <w:rPr>
                <w:rFonts w:ascii="仿宋_GB2312"/>
                <w:sz w:val="21"/>
                <w:szCs w:val="21"/>
              </w:rPr>
            </w:pPr>
            <w:r>
              <w:rPr>
                <w:rFonts w:cs="Times New Roman" w:hint="eastAsia"/>
                <w:sz w:val="21"/>
                <w:szCs w:val="21"/>
              </w:rPr>
              <w:t>王晨</w:t>
            </w:r>
            <w:r>
              <w:rPr>
                <w:rFonts w:cs="Times New Roman" w:hint="eastAsia"/>
                <w:sz w:val="21"/>
                <w:szCs w:val="21"/>
              </w:rPr>
              <w:t xml:space="preserve">, </w:t>
            </w:r>
            <w:r>
              <w:rPr>
                <w:rFonts w:cs="Times New Roman" w:hint="eastAsia"/>
                <w:sz w:val="21"/>
                <w:szCs w:val="21"/>
              </w:rPr>
              <w:t>刘宇孛</w:t>
            </w:r>
            <w:r>
              <w:rPr>
                <w:rFonts w:cs="Times New Roman" w:hint="eastAsia"/>
                <w:sz w:val="21"/>
                <w:szCs w:val="21"/>
              </w:rPr>
              <w:t xml:space="preserve">, </w:t>
            </w:r>
            <w:r>
              <w:rPr>
                <w:rFonts w:cs="Times New Roman" w:hint="eastAsia"/>
                <w:sz w:val="21"/>
                <w:szCs w:val="21"/>
              </w:rPr>
              <w:t>周涛</w:t>
            </w:r>
            <w:r>
              <w:rPr>
                <w:rFonts w:cs="Times New Roman" w:hint="eastAsia"/>
                <w:sz w:val="21"/>
                <w:szCs w:val="21"/>
              </w:rPr>
              <w:t xml:space="preserve">, </w:t>
            </w:r>
            <w:r>
              <w:rPr>
                <w:rFonts w:cs="Times New Roman" w:hint="eastAsia"/>
                <w:sz w:val="21"/>
                <w:szCs w:val="21"/>
              </w:rPr>
              <w:t>黄明杰</w:t>
            </w:r>
            <w:r>
              <w:rPr>
                <w:rFonts w:cs="Times New Roman" w:hint="eastAsia"/>
                <w:sz w:val="21"/>
                <w:szCs w:val="21"/>
              </w:rPr>
              <w:t xml:space="preserve">, </w:t>
            </w:r>
            <w:r>
              <w:rPr>
                <w:rFonts w:cs="Times New Roman" w:hint="eastAsia"/>
                <w:sz w:val="21"/>
                <w:szCs w:val="21"/>
              </w:rPr>
              <w:t>毛娟</w:t>
            </w:r>
            <w:r>
              <w:rPr>
                <w:rFonts w:cs="Times New Roman" w:hint="eastAsia"/>
                <w:sz w:val="21"/>
                <w:szCs w:val="21"/>
              </w:rPr>
              <w:t xml:space="preserve">, </w:t>
            </w:r>
            <w:r>
              <w:rPr>
                <w:rFonts w:cs="Times New Roman" w:hint="eastAsia"/>
                <w:sz w:val="21"/>
                <w:szCs w:val="21"/>
              </w:rPr>
              <w:t>吴晓晖</w:t>
            </w:r>
          </w:p>
        </w:tc>
        <w:tc>
          <w:tcPr>
            <w:tcW w:w="255" w:type="pct"/>
            <w:tcBorders>
              <w:top w:val="single" w:sz="4" w:space="0" w:color="auto"/>
              <w:left w:val="single" w:sz="4" w:space="0" w:color="auto"/>
              <w:bottom w:val="single" w:sz="4" w:space="0" w:color="auto"/>
              <w:right w:val="single" w:sz="4" w:space="0" w:color="auto"/>
            </w:tcBorders>
            <w:vAlign w:val="center"/>
          </w:tcPr>
          <w:p w14:paraId="0793410F" w14:textId="1704A0AD" w:rsidR="00934FE4" w:rsidRPr="00934FE4" w:rsidRDefault="003D2785" w:rsidP="00934FE4">
            <w:pPr>
              <w:snapToGrid w:val="0"/>
              <w:spacing w:line="240" w:lineRule="auto"/>
              <w:jc w:val="center"/>
              <w:rPr>
                <w:rFonts w:ascii="仿宋_GB2312"/>
                <w:sz w:val="21"/>
                <w:szCs w:val="21"/>
              </w:rPr>
            </w:pPr>
            <w:r>
              <w:rPr>
                <w:rFonts w:cs="Times New Roman" w:hint="eastAsia"/>
                <w:sz w:val="21"/>
                <w:szCs w:val="21"/>
              </w:rPr>
              <w:t>39</w:t>
            </w:r>
          </w:p>
        </w:tc>
        <w:tc>
          <w:tcPr>
            <w:tcW w:w="306" w:type="pct"/>
            <w:tcBorders>
              <w:top w:val="single" w:sz="4" w:space="0" w:color="auto"/>
              <w:left w:val="single" w:sz="4" w:space="0" w:color="auto"/>
              <w:bottom w:val="single" w:sz="4" w:space="0" w:color="auto"/>
              <w:right w:val="single" w:sz="4" w:space="0" w:color="auto"/>
            </w:tcBorders>
            <w:vAlign w:val="center"/>
          </w:tcPr>
          <w:p w14:paraId="373385A9" w14:textId="0D28E1CA" w:rsidR="00934FE4" w:rsidRPr="00934FE4" w:rsidRDefault="00934FE4" w:rsidP="00934FE4">
            <w:pPr>
              <w:snapToGrid w:val="0"/>
              <w:spacing w:line="240" w:lineRule="auto"/>
              <w:jc w:val="center"/>
              <w:rPr>
                <w:rFonts w:ascii="仿宋_GB2312"/>
                <w:sz w:val="21"/>
                <w:szCs w:val="21"/>
              </w:rPr>
            </w:pPr>
            <w:r w:rsidRPr="00934FE4">
              <w:rPr>
                <w:rFonts w:cs="Times New Roman" w:hint="eastAsia"/>
                <w:sz w:val="21"/>
                <w:szCs w:val="21"/>
              </w:rPr>
              <w:t>WOS</w:t>
            </w:r>
          </w:p>
        </w:tc>
        <w:tc>
          <w:tcPr>
            <w:tcW w:w="410" w:type="pct"/>
            <w:tcBorders>
              <w:top w:val="single" w:sz="4" w:space="0" w:color="auto"/>
              <w:left w:val="single" w:sz="4" w:space="0" w:color="auto"/>
              <w:bottom w:val="single" w:sz="4" w:space="0" w:color="auto"/>
            </w:tcBorders>
            <w:vAlign w:val="center"/>
          </w:tcPr>
          <w:p w14:paraId="4E9B7A7D" w14:textId="746AB6C1" w:rsidR="00934FE4" w:rsidRPr="00934FE4" w:rsidRDefault="00934FE4" w:rsidP="00934FE4">
            <w:pPr>
              <w:snapToGrid w:val="0"/>
              <w:spacing w:line="240" w:lineRule="auto"/>
              <w:jc w:val="center"/>
              <w:rPr>
                <w:rFonts w:ascii="仿宋_GB2312"/>
                <w:sz w:val="21"/>
                <w:szCs w:val="21"/>
              </w:rPr>
            </w:pPr>
            <w:r w:rsidRPr="00934FE4">
              <w:rPr>
                <w:rFonts w:cs="Times New Roman" w:hint="eastAsia"/>
                <w:sz w:val="21"/>
                <w:szCs w:val="21"/>
              </w:rPr>
              <w:t>否</w:t>
            </w:r>
          </w:p>
        </w:tc>
        <w:tc>
          <w:tcPr>
            <w:tcW w:w="462" w:type="pct"/>
            <w:tcBorders>
              <w:top w:val="single" w:sz="4" w:space="0" w:color="auto"/>
              <w:left w:val="single" w:sz="4" w:space="0" w:color="auto"/>
              <w:bottom w:val="single" w:sz="4" w:space="0" w:color="auto"/>
            </w:tcBorders>
            <w:vAlign w:val="center"/>
          </w:tcPr>
          <w:p w14:paraId="3DB6DBEF" w14:textId="3CF2090B" w:rsidR="00934FE4" w:rsidRPr="00934FE4" w:rsidRDefault="00934FE4" w:rsidP="00934FE4">
            <w:pPr>
              <w:snapToGrid w:val="0"/>
              <w:spacing w:line="240" w:lineRule="auto"/>
              <w:jc w:val="center"/>
              <w:rPr>
                <w:rFonts w:ascii="仿宋_GB2312"/>
                <w:sz w:val="21"/>
                <w:szCs w:val="21"/>
              </w:rPr>
            </w:pPr>
            <w:r w:rsidRPr="00934FE4">
              <w:rPr>
                <w:rFonts w:cs="Times New Roman"/>
                <w:sz w:val="21"/>
                <w:szCs w:val="21"/>
              </w:rPr>
              <w:t>11-2710/O6</w:t>
            </w:r>
          </w:p>
        </w:tc>
      </w:tr>
    </w:tbl>
    <w:p w14:paraId="62711C13" w14:textId="77777777" w:rsidR="0089720A" w:rsidRPr="001C39B9" w:rsidRDefault="0089720A" w:rsidP="00934FE4">
      <w:pPr>
        <w:snapToGrid w:val="0"/>
        <w:spacing w:beforeLines="50" w:before="156" w:afterLines="50" w:after="156" w:line="24" w:lineRule="auto"/>
        <w:jc w:val="center"/>
      </w:pPr>
    </w:p>
    <w:sectPr w:rsidR="0089720A" w:rsidRPr="001C39B9" w:rsidSect="001C39B9">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3C66C5" w14:textId="77777777" w:rsidR="00C26F8A" w:rsidRDefault="00C26F8A" w:rsidP="0026455A">
      <w:pPr>
        <w:spacing w:line="240" w:lineRule="auto"/>
      </w:pPr>
      <w:r>
        <w:separator/>
      </w:r>
    </w:p>
  </w:endnote>
  <w:endnote w:type="continuationSeparator" w:id="0">
    <w:p w14:paraId="77A7DA2B" w14:textId="77777777" w:rsidR="00C26F8A" w:rsidRDefault="00C26F8A" w:rsidP="0026455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方正小标宋简体">
    <w:altName w:val="黑体"/>
    <w:charset w:val="86"/>
    <w:family w:val="auto"/>
    <w:pitch w:val="variable"/>
    <w:sig w:usb0="00000001" w:usb1="080E0000" w:usb2="00000010" w:usb3="00000000" w:csb0="00040000" w:csb1="00000000"/>
  </w:font>
  <w:font w:name="方正仿宋_GBK">
    <w:altName w:val="微软雅黑"/>
    <w:charset w:val="86"/>
    <w:family w:val="script"/>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B3EB38" w14:textId="77777777" w:rsidR="00C26F8A" w:rsidRDefault="00C26F8A" w:rsidP="0026455A">
      <w:pPr>
        <w:spacing w:line="240" w:lineRule="auto"/>
      </w:pPr>
      <w:r>
        <w:separator/>
      </w:r>
    </w:p>
  </w:footnote>
  <w:footnote w:type="continuationSeparator" w:id="0">
    <w:p w14:paraId="3399508A" w14:textId="77777777" w:rsidR="00C26F8A" w:rsidRDefault="00C26F8A" w:rsidP="0026455A">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0" w:nlCheck="1" w:checkStyle="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C39B9"/>
    <w:rsid w:val="00036971"/>
    <w:rsid w:val="001A3FE2"/>
    <w:rsid w:val="001A56E0"/>
    <w:rsid w:val="001C114F"/>
    <w:rsid w:val="001C39B9"/>
    <w:rsid w:val="00227A9D"/>
    <w:rsid w:val="0025256C"/>
    <w:rsid w:val="0026455A"/>
    <w:rsid w:val="0027726A"/>
    <w:rsid w:val="002A1CE3"/>
    <w:rsid w:val="002A6B25"/>
    <w:rsid w:val="002B48DF"/>
    <w:rsid w:val="00356717"/>
    <w:rsid w:val="0039780A"/>
    <w:rsid w:val="003D2785"/>
    <w:rsid w:val="003E05BC"/>
    <w:rsid w:val="00471497"/>
    <w:rsid w:val="004D284C"/>
    <w:rsid w:val="004D4BB5"/>
    <w:rsid w:val="004E3803"/>
    <w:rsid w:val="004F3D5E"/>
    <w:rsid w:val="00511EF1"/>
    <w:rsid w:val="00556135"/>
    <w:rsid w:val="005B5EB9"/>
    <w:rsid w:val="00662CDE"/>
    <w:rsid w:val="006C4E9D"/>
    <w:rsid w:val="00725B36"/>
    <w:rsid w:val="007328CD"/>
    <w:rsid w:val="007B271F"/>
    <w:rsid w:val="0089720A"/>
    <w:rsid w:val="008B53EA"/>
    <w:rsid w:val="008D0353"/>
    <w:rsid w:val="00901D32"/>
    <w:rsid w:val="00934FE4"/>
    <w:rsid w:val="009651CD"/>
    <w:rsid w:val="009811E8"/>
    <w:rsid w:val="009974C7"/>
    <w:rsid w:val="009A3C54"/>
    <w:rsid w:val="00A33039"/>
    <w:rsid w:val="00A77658"/>
    <w:rsid w:val="00B23A5C"/>
    <w:rsid w:val="00BE3CD3"/>
    <w:rsid w:val="00C26F8A"/>
    <w:rsid w:val="00C65AE0"/>
    <w:rsid w:val="00D14190"/>
    <w:rsid w:val="00E57429"/>
    <w:rsid w:val="00E96B57"/>
    <w:rsid w:val="00ED557B"/>
    <w:rsid w:val="00EF376F"/>
    <w:rsid w:val="00FE42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7CEEDA5"/>
  <w15:chartTrackingRefBased/>
  <w15:docId w15:val="{A044A89E-8802-4783-BA8D-150810EF61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C39B9"/>
    <w:pPr>
      <w:spacing w:line="560" w:lineRule="exact"/>
    </w:pPr>
    <w:rPr>
      <w:rFonts w:ascii="Times New Roman" w:eastAsia="仿宋_GB2312" w:hAnsi="Times New Roman"/>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qFormat/>
    <w:rsid w:val="001C39B9"/>
    <w:rPr>
      <w:sz w:val="24"/>
    </w:rPr>
  </w:style>
  <w:style w:type="table" w:styleId="a4">
    <w:name w:val="Table Grid"/>
    <w:basedOn w:val="a1"/>
    <w:uiPriority w:val="59"/>
    <w:qFormat/>
    <w:rsid w:val="001C39B9"/>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26455A"/>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a6">
    <w:name w:val="页眉 字符"/>
    <w:basedOn w:val="a0"/>
    <w:link w:val="a5"/>
    <w:uiPriority w:val="99"/>
    <w:rsid w:val="0026455A"/>
    <w:rPr>
      <w:rFonts w:ascii="Times New Roman" w:eastAsia="仿宋_GB2312" w:hAnsi="Times New Roman"/>
      <w:sz w:val="18"/>
      <w:szCs w:val="18"/>
    </w:rPr>
  </w:style>
  <w:style w:type="paragraph" w:styleId="a7">
    <w:name w:val="footer"/>
    <w:basedOn w:val="a"/>
    <w:link w:val="a8"/>
    <w:uiPriority w:val="99"/>
    <w:unhideWhenUsed/>
    <w:rsid w:val="0026455A"/>
    <w:pPr>
      <w:tabs>
        <w:tab w:val="center" w:pos="4153"/>
        <w:tab w:val="right" w:pos="8306"/>
      </w:tabs>
      <w:snapToGrid w:val="0"/>
      <w:spacing w:line="240" w:lineRule="atLeast"/>
    </w:pPr>
    <w:rPr>
      <w:sz w:val="18"/>
      <w:szCs w:val="18"/>
    </w:rPr>
  </w:style>
  <w:style w:type="character" w:customStyle="1" w:styleId="a8">
    <w:name w:val="页脚 字符"/>
    <w:basedOn w:val="a0"/>
    <w:link w:val="a7"/>
    <w:uiPriority w:val="99"/>
    <w:rsid w:val="0026455A"/>
    <w:rPr>
      <w:rFonts w:ascii="Times New Roman" w:eastAsia="仿宋_GB2312" w:hAnsi="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CE9975-3C4D-48EB-B14E-4D2337DC1E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111</TotalTime>
  <Pages>3</Pages>
  <Words>1798</Words>
  <Characters>2895</Characters>
  <Application>Microsoft Office Word</Application>
  <DocSecurity>0</DocSecurity>
  <Lines>144</Lines>
  <Paragraphs>93</Paragraphs>
  <ScaleCrop>false</ScaleCrop>
  <Company/>
  <LinksUpToDate>false</LinksUpToDate>
  <CharactersWithSpaces>4600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明杰 黄</cp:lastModifiedBy>
  <cp:revision>23</cp:revision>
  <dcterms:created xsi:type="dcterms:W3CDTF">2023-10-31T03:03:00Z</dcterms:created>
  <dcterms:modified xsi:type="dcterms:W3CDTF">2026-03-24T08:48:00Z</dcterms:modified>
</cp:coreProperties>
</file>